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79C" w:rsidRDefault="0065279C">
      <w:pPr>
        <w:kinsoku w:val="0"/>
        <w:overflowPunct w:val="0"/>
        <w:autoSpaceDE/>
        <w:autoSpaceDN/>
        <w:adjustRightInd/>
        <w:spacing w:after="564" w:line="20" w:lineRule="exact"/>
        <w:textAlignment w:val="baseline"/>
        <w:rPr>
          <w:sz w:val="24"/>
          <w:szCs w:val="24"/>
        </w:rPr>
      </w:pPr>
    </w:p>
    <w:p w:rsidR="0065279C" w:rsidRDefault="00076F58">
      <w:pPr>
        <w:kinsoku w:val="0"/>
        <w:overflowPunct w:val="0"/>
        <w:autoSpaceDE/>
        <w:autoSpaceDN/>
        <w:adjustRightInd/>
        <w:spacing w:before="1" w:line="283"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RESOLUCION </w:t>
      </w:r>
      <w:bookmarkStart w:id="0" w:name="_GoBack"/>
      <w:r>
        <w:rPr>
          <w:rFonts w:ascii="Verdana" w:hAnsi="Verdana" w:cs="Verdana"/>
          <w:b/>
          <w:bCs/>
          <w:spacing w:val="1"/>
          <w:sz w:val="24"/>
          <w:szCs w:val="24"/>
          <w:lang w:val="es-ES" w:eastAsia="es-ES"/>
        </w:rPr>
        <w:t>TAT</w:t>
      </w:r>
      <w:r w:rsidR="00A84712">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3314-2017</w:t>
      </w:r>
      <w:bookmarkEnd w:id="0"/>
    </w:p>
    <w:p w:rsidR="0065279C" w:rsidRDefault="00076F58">
      <w:pPr>
        <w:kinsoku w:val="0"/>
        <w:overflowPunct w:val="0"/>
        <w:autoSpaceDE/>
        <w:autoSpaceDN/>
        <w:adjustRightInd/>
        <w:spacing w:before="585" w:line="291"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diez horas cuarenta y cinco minutos del veintinueve de setiembre de dos mil diecisiete.</w:t>
      </w:r>
    </w:p>
    <w:p w:rsidR="0065279C" w:rsidRDefault="00076F58">
      <w:pPr>
        <w:kinsoku w:val="0"/>
        <w:overflowPunct w:val="0"/>
        <w:autoSpaceDE/>
        <w:autoSpaceDN/>
        <w:adjustRightInd/>
        <w:spacing w:before="303" w:line="291" w:lineRule="exact"/>
        <w:ind w:right="144"/>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RECURSOS DE APELACIÓN, </w:t>
      </w:r>
      <w:r>
        <w:rPr>
          <w:rFonts w:ascii="Verdana" w:hAnsi="Verdana" w:cs="Verdana"/>
          <w:sz w:val="24"/>
          <w:szCs w:val="24"/>
          <w:lang w:val="es-ES" w:eastAsia="es-ES"/>
        </w:rPr>
        <w:t xml:space="preserve">interpuesto por la empresa </w:t>
      </w:r>
      <w:r>
        <w:rPr>
          <w:rFonts w:ascii="Verdana" w:hAnsi="Verdana" w:cs="Verdana"/>
          <w:b/>
          <w:bCs/>
          <w:sz w:val="24"/>
          <w:szCs w:val="24"/>
          <w:lang w:val="es-ES" w:eastAsia="es-ES"/>
        </w:rPr>
        <w:t>R</w:t>
      </w:r>
      <w:r w:rsidR="0022653D">
        <w:rPr>
          <w:rFonts w:ascii="Verdana" w:hAnsi="Verdana" w:cs="Verdana"/>
          <w:b/>
          <w:bCs/>
          <w:sz w:val="24"/>
          <w:szCs w:val="24"/>
          <w:lang w:val="es-ES" w:eastAsia="es-ES"/>
        </w:rPr>
        <w:t>.D.C.S.A.</w:t>
      </w:r>
      <w:r>
        <w:rPr>
          <w:rFonts w:ascii="Verdana" w:hAnsi="Verdana" w:cs="Verdana"/>
          <w:b/>
          <w:bCs/>
          <w:sz w:val="24"/>
          <w:szCs w:val="24"/>
          <w:lang w:val="es-ES" w:eastAsia="es-ES"/>
        </w:rPr>
        <w:t xml:space="preserve"> cédula jurídica número </w:t>
      </w:r>
      <w:r w:rsidR="0022653D">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 apoderado Generalísimo sin límite de Suma señor </w:t>
      </w:r>
      <w:r>
        <w:rPr>
          <w:rFonts w:ascii="Verdana" w:hAnsi="Verdana" w:cs="Verdana"/>
          <w:b/>
          <w:bCs/>
          <w:sz w:val="24"/>
          <w:szCs w:val="24"/>
          <w:lang w:val="es-ES" w:eastAsia="es-ES"/>
        </w:rPr>
        <w:t>J</w:t>
      </w:r>
      <w:r w:rsidR="0022653D">
        <w:rPr>
          <w:rFonts w:ascii="Verdana" w:hAnsi="Verdana" w:cs="Verdana"/>
          <w:b/>
          <w:bCs/>
          <w:sz w:val="24"/>
          <w:szCs w:val="24"/>
          <w:lang w:val="es-ES" w:eastAsia="es-ES"/>
        </w:rPr>
        <w:t>.A.C.S.</w:t>
      </w:r>
      <w:r>
        <w:rPr>
          <w:rFonts w:ascii="Verdana" w:hAnsi="Verdana" w:cs="Verdana"/>
          <w:b/>
          <w:bCs/>
          <w:sz w:val="24"/>
          <w:szCs w:val="24"/>
          <w:lang w:val="es-ES" w:eastAsia="es-ES"/>
        </w:rPr>
        <w:t xml:space="preserve">, cédula de identidad número </w:t>
      </w:r>
      <w:r w:rsidR="0022653D">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w:t>
      </w:r>
      <w:r>
        <w:rPr>
          <w:rFonts w:ascii="Verdana" w:hAnsi="Verdana" w:cs="Verdana"/>
          <w:b/>
          <w:bCs/>
          <w:sz w:val="24"/>
          <w:szCs w:val="24"/>
          <w:lang w:val="es-ES" w:eastAsia="es-ES"/>
        </w:rPr>
        <w:t xml:space="preserve">el artículo 7.18 de la Sesión Ordinaria 23-2017 de 7 de junio de 2017, celebrado por la Junta Directiva del Consejo de Transporte Público. </w:t>
      </w:r>
      <w:r>
        <w:rPr>
          <w:rFonts w:ascii="Verdana" w:hAnsi="Verdana" w:cs="Verdana"/>
          <w:sz w:val="24"/>
          <w:szCs w:val="24"/>
          <w:lang w:val="es-ES" w:eastAsia="es-ES"/>
        </w:rPr>
        <w:t xml:space="preserve">El caso es tramitado en este Despacho bajo el </w:t>
      </w:r>
      <w:r>
        <w:rPr>
          <w:rFonts w:ascii="Verdana" w:hAnsi="Verdana" w:cs="Verdana"/>
          <w:b/>
          <w:bCs/>
          <w:sz w:val="24"/>
          <w:szCs w:val="24"/>
          <w:lang w:val="es-ES" w:eastAsia="es-ES"/>
        </w:rPr>
        <w:t>Expediente Administrativo No. TAT-071-17</w:t>
      </w:r>
    </w:p>
    <w:p w:rsidR="0065279C" w:rsidRDefault="00076F58">
      <w:pPr>
        <w:kinsoku w:val="0"/>
        <w:overflowPunct w:val="0"/>
        <w:autoSpaceDE/>
        <w:autoSpaceDN/>
        <w:adjustRightInd/>
        <w:spacing w:before="299" w:line="283"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RESULTANDO</w:t>
      </w:r>
    </w:p>
    <w:p w:rsidR="0065279C" w:rsidRDefault="00076F58">
      <w:pPr>
        <w:kinsoku w:val="0"/>
        <w:overflowPunct w:val="0"/>
        <w:autoSpaceDE/>
        <w:autoSpaceDN/>
        <w:adjustRightInd/>
        <w:spacing w:before="301" w:line="291"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7.18 de la Sesión Ordinaria 23-2017 de 7 de junio de 2017, celebrado por la Junta Directiva del Consejo de Transporte Público, </w:t>
      </w:r>
      <w:r>
        <w:rPr>
          <w:rFonts w:ascii="Verdana" w:hAnsi="Verdana" w:cs="Verdana"/>
          <w:sz w:val="24"/>
          <w:szCs w:val="24"/>
          <w:lang w:val="es-ES" w:eastAsia="es-ES"/>
        </w:rPr>
        <w:t>dispuso: (Léanse folios 65 y 66 del expediente administrativo)</w:t>
      </w:r>
    </w:p>
    <w:p w:rsidR="0065279C" w:rsidRDefault="00076F58">
      <w:pPr>
        <w:kinsoku w:val="0"/>
        <w:overflowPunct w:val="0"/>
        <w:autoSpaceDE/>
        <w:autoSpaceDN/>
        <w:adjustRightInd/>
        <w:spacing w:before="233" w:line="190" w:lineRule="exact"/>
        <w:ind w:left="432"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"ARTICULO 7.18.-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r>
        <w:rPr>
          <w:rFonts w:ascii="Verdana" w:hAnsi="Verdana" w:cs="Verdana"/>
          <w:i/>
          <w:iCs/>
          <w:sz w:val="16"/>
          <w:szCs w:val="16"/>
          <w:lang w:val="es-ES" w:eastAsia="es-ES"/>
        </w:rPr>
        <w:t>tal y como lo establece el artículo 30 del Decreto Ejecutivo No. 28833-MOPT y sus reformas.</w:t>
      </w:r>
    </w:p>
    <w:p w:rsidR="0065279C" w:rsidRDefault="00076F58">
      <w:pPr>
        <w:kinsoku w:val="0"/>
        <w:overflowPunct w:val="0"/>
        <w:autoSpaceDE/>
        <w:autoSpaceDN/>
        <w:adjustRightInd/>
        <w:spacing w:before="192" w:line="191"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CONSIDERANDO:</w:t>
      </w:r>
    </w:p>
    <w:p w:rsidR="0065279C" w:rsidRDefault="00076F58">
      <w:pPr>
        <w:kinsoku w:val="0"/>
        <w:overflowPunct w:val="0"/>
        <w:autoSpaceDE/>
        <w:autoSpaceDN/>
        <w:adjustRightInd/>
        <w:spacing w:before="216" w:line="190" w:lineRule="exact"/>
        <w:ind w:left="432"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_Mediante </w:t>
      </w:r>
      <w:r>
        <w:rPr>
          <w:rFonts w:ascii="Verdana" w:hAnsi="Verdana" w:cs="Verdana"/>
          <w:i/>
          <w:iCs/>
          <w:sz w:val="16"/>
          <w:szCs w:val="16"/>
          <w:lang w:val="es-ES" w:eastAsia="es-ES"/>
        </w:rPr>
        <w:t>el artículo 8.1 de la sesión ordinaria 20-2017, la Junta Directiva integró formalmente la Comisión encargada de la revisión del Modelo y Manual de Calidad, de conformidad con lo establecido en el Decreto Ejecutivo No. 28833-MOPT, mismo que establece los criterios de evaluación en cuanto a la calidad del servicio del transporte público.</w:t>
      </w:r>
    </w:p>
    <w:p w:rsidR="0065279C" w:rsidRDefault="00076F58">
      <w:pPr>
        <w:kinsoku w:val="0"/>
        <w:overflowPunct w:val="0"/>
        <w:autoSpaceDE/>
        <w:autoSpaceDN/>
        <w:adjustRightInd/>
        <w:spacing w:before="194" w:line="194" w:lineRule="exact"/>
        <w:ind w:left="432"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en lo atinente a la revisión del Manual para la aplicación del Modelo de Calidad del Servicio para el período 2017, basados en los fundamentos, motivos y contenidos, desarrollados en dicha herramienta técnica.</w:t>
      </w:r>
    </w:p>
    <w:p w:rsidR="0065279C" w:rsidRDefault="00076F58">
      <w:pPr>
        <w:kinsoku w:val="0"/>
        <w:overflowPunct w:val="0"/>
        <w:autoSpaceDE/>
        <w:autoSpaceDN/>
        <w:adjustRightInd/>
        <w:spacing w:before="222" w:line="190" w:lineRule="exact"/>
        <w:ind w:left="432"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Luego de las reuniones sostenidas con los integrantes de dicha Comisión, se logró un instrumento transitorio de consenso, con aplicación para el año 2017, el cual contiene las disposiciones generales que deben de ser aprobadas por la Junta Directiva, las cuales están basadas en aspectos técnicos vinculados a la materia, una vez que el Manual sea aprobado conforme a la recomendación de la Comisión.</w:t>
      </w:r>
    </w:p>
    <w:p w:rsidR="0065279C" w:rsidRDefault="0065279C">
      <w:pPr>
        <w:widowControl/>
        <w:rPr>
          <w:sz w:val="24"/>
          <w:szCs w:val="24"/>
        </w:rPr>
        <w:sectPr w:rsidR="0065279C">
          <w:pgSz w:w="12298" w:h="15763"/>
          <w:pgMar w:top="1420" w:right="1391" w:bottom="241" w:left="1867" w:header="720" w:footer="720" w:gutter="0"/>
          <w:cols w:space="720"/>
          <w:noEndnote/>
        </w:sectPr>
      </w:pPr>
    </w:p>
    <w:p w:rsidR="0065279C" w:rsidRDefault="00076F58">
      <w:pPr>
        <w:kinsoku w:val="0"/>
        <w:overflowPunct w:val="0"/>
        <w:autoSpaceDE/>
        <w:autoSpaceDN/>
        <w:adjustRightInd/>
        <w:spacing w:before="35" w:line="194" w:lineRule="exact"/>
        <w:ind w:left="216" w:right="648"/>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lastRenderedPageBreak/>
        <w:t xml:space="preserve">CUARTO: </w:t>
      </w:r>
      <w:r>
        <w:rPr>
          <w:rFonts w:ascii="Verdana" w:hAnsi="Verdana" w:cs="Verdana"/>
          <w:i/>
          <w:iCs/>
          <w:spacing w:val="-2"/>
          <w:sz w:val="16"/>
          <w:szCs w:val="16"/>
          <w:lang w:val="es-ES" w:eastAsia="es-ES"/>
        </w:rPr>
        <w:t xml:space="preserve">Los cambios medulares del Manual, se resumen en la variación de los porcentajes de la evaluación final de las notas por criterios ("criterio o", que es el </w:t>
      </w:r>
      <w:r>
        <w:rPr>
          <w:rFonts w:ascii="Verdana" w:hAnsi="Verdana" w:cs="Verdana"/>
          <w:b/>
          <w:bCs/>
          <w:i/>
          <w:iCs/>
          <w:spacing w:val="-2"/>
          <w:sz w:val="16"/>
          <w:szCs w:val="16"/>
          <w:lang w:val="es-ES" w:eastAsia="es-ES"/>
        </w:rPr>
        <w:t xml:space="preserve">operativo; </w:t>
      </w:r>
      <w:r>
        <w:rPr>
          <w:rFonts w:ascii="Verdana" w:hAnsi="Verdana" w:cs="Verdana"/>
          <w:i/>
          <w:iCs/>
          <w:spacing w:val="-2"/>
          <w:sz w:val="16"/>
          <w:szCs w:val="16"/>
          <w:lang w:val="es-ES" w:eastAsia="es-ES"/>
        </w:rPr>
        <w:t xml:space="preserve">el "criterio a" que es el de la </w:t>
      </w:r>
      <w:r>
        <w:rPr>
          <w:rFonts w:ascii="Verdana" w:hAnsi="Verdana" w:cs="Verdana"/>
          <w:b/>
          <w:bCs/>
          <w:i/>
          <w:iCs/>
          <w:spacing w:val="-2"/>
          <w:sz w:val="16"/>
          <w:szCs w:val="16"/>
          <w:lang w:val="es-ES" w:eastAsia="es-ES"/>
        </w:rPr>
        <w:t xml:space="preserve">Administración; </w:t>
      </w:r>
      <w:r>
        <w:rPr>
          <w:rFonts w:ascii="Verdana" w:hAnsi="Verdana" w:cs="Verdana"/>
          <w:i/>
          <w:iCs/>
          <w:spacing w:val="-2"/>
          <w:sz w:val="16"/>
          <w:szCs w:val="16"/>
          <w:lang w:val="es-ES" w:eastAsia="es-ES"/>
        </w:rPr>
        <w:t xml:space="preserve">y el "criterio u" que es el del </w:t>
      </w:r>
      <w:r>
        <w:rPr>
          <w:rFonts w:ascii="Verdana" w:hAnsi="Verdana" w:cs="Verdana"/>
          <w:b/>
          <w:bCs/>
          <w:i/>
          <w:iCs/>
          <w:spacing w:val="-2"/>
          <w:sz w:val="16"/>
          <w:szCs w:val="16"/>
          <w:lang w:val="es-ES" w:eastAsia="es-ES"/>
        </w:rPr>
        <w:t xml:space="preserve">usuario) </w:t>
      </w:r>
      <w:r>
        <w:rPr>
          <w:rFonts w:ascii="Verdana" w:hAnsi="Verdana" w:cs="Verdana"/>
          <w:i/>
          <w:iCs/>
          <w:spacing w:val="-2"/>
          <w:sz w:val="16"/>
          <w:szCs w:val="16"/>
          <w:lang w:val="es-ES" w:eastAsia="es-ES"/>
        </w:rPr>
        <w:t>en el peso relativo, siendo que al operador se le está asign</w:t>
      </w:r>
      <w:r w:rsidR="0022653D">
        <w:rPr>
          <w:rFonts w:ascii="Verdana" w:hAnsi="Verdana" w:cs="Verdana"/>
          <w:i/>
          <w:iCs/>
          <w:spacing w:val="-2"/>
          <w:sz w:val="16"/>
          <w:szCs w:val="16"/>
          <w:lang w:val="es-ES" w:eastAsia="es-ES"/>
        </w:rPr>
        <w:t xml:space="preserve">ando un 45%; en cuanto a </w:t>
      </w:r>
      <w:r>
        <w:rPr>
          <w:rFonts w:ascii="Verdana" w:hAnsi="Verdana" w:cs="Verdana"/>
          <w:i/>
          <w:iCs/>
          <w:spacing w:val="-2"/>
          <w:sz w:val="16"/>
          <w:szCs w:val="16"/>
          <w:lang w:val="es-ES" w:eastAsia="es-ES"/>
        </w:rPr>
        <w:t>la encuesta del Usuario, otro 45%; y finalmente un 10% al peso relativo de la Administración. Estos pesos relativos pueden variar año con año.</w:t>
      </w:r>
    </w:p>
    <w:p w:rsidR="0065279C" w:rsidRDefault="00076F58">
      <w:pPr>
        <w:kinsoku w:val="0"/>
        <w:overflowPunct w:val="0"/>
        <w:autoSpaceDE/>
        <w:autoSpaceDN/>
        <w:adjustRightInd/>
        <w:spacing w:before="175" w:line="194" w:lineRule="exact"/>
        <w:ind w:left="216" w:right="648"/>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QUINTO: </w:t>
      </w:r>
      <w:r>
        <w:rPr>
          <w:rFonts w:ascii="Verdana" w:hAnsi="Verdana" w:cs="Verdana"/>
          <w:i/>
          <w:iCs/>
          <w:spacing w:val="-1"/>
          <w:sz w:val="16"/>
          <w:szCs w:val="16"/>
          <w:lang w:val="es-ES" w:eastAsia="es-ES"/>
        </w:rPr>
        <w:t>En razón de todo lo anterior, lo que se recomienda y se somete a conocimiento de la Junta Directiva es la aprobación de las consideraciones generales para la contratación de Organismos de Inspección y del Manual para la Evaluación de la Calidad para el año 2017. También se somete a conocimiento de esta Junta Directiva la recomendación del valor del peso relativo dado a los diferentes criterios anteriormente mencionados. Adicionalmente, de conformidad con el artículo 21 del Decreto Ejecutivo No. 28833-MOPT, y a lo expresado por la ARESEP en el oficio No. 1369-IT-2016/135423-2016 del 31 de agosto del 2016, referido a que el costo del estudio será reconocido tarifariamente, se debe disponer su reconocimiento por parte de la Junta Directiva, en relación con la contratación que realicen los concesionarios y permisionarios con los Organismos de Inspección acreditados ante el ECA. Asimismo, procede destacar la aprobación del punto particular de las Disposiciones Generales para el año 2017, en relación a las excepciones y dispensas del requisito de contratación de Organismos de Inspección acreditados ante el EC, así como deberá ponderarse y definirse el mecanismo por el cual, se procederá a reconocer dichos estudios.</w:t>
      </w:r>
    </w:p>
    <w:p w:rsidR="0065279C" w:rsidRDefault="00076F58">
      <w:pPr>
        <w:kinsoku w:val="0"/>
        <w:overflowPunct w:val="0"/>
        <w:autoSpaceDE/>
        <w:autoSpaceDN/>
        <w:adjustRightInd/>
        <w:spacing w:before="189" w:line="193" w:lineRule="exact"/>
        <w:ind w:left="216"/>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65279C" w:rsidRDefault="00076F58">
      <w:pPr>
        <w:numPr>
          <w:ilvl w:val="0"/>
          <w:numId w:val="1"/>
        </w:numPr>
        <w:kinsoku w:val="0"/>
        <w:overflowPunct w:val="0"/>
        <w:autoSpaceDE/>
        <w:autoSpaceDN/>
        <w:adjustRightInd/>
        <w:spacing w:before="198" w:line="194"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65279C" w:rsidRDefault="00076F58">
      <w:pPr>
        <w:numPr>
          <w:ilvl w:val="0"/>
          <w:numId w:val="1"/>
        </w:numPr>
        <w:kinsoku w:val="0"/>
        <w:overflowPunct w:val="0"/>
        <w:autoSpaceDE/>
        <w:autoSpaceDN/>
        <w:adjustRightInd/>
        <w:spacing w:before="203" w:line="194"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65279C" w:rsidRDefault="00076F58">
      <w:pPr>
        <w:numPr>
          <w:ilvl w:val="0"/>
          <w:numId w:val="1"/>
        </w:numPr>
        <w:kinsoku w:val="0"/>
        <w:overflowPunct w:val="0"/>
        <w:autoSpaceDE/>
        <w:autoSpaceDN/>
        <w:adjustRightInd/>
        <w:spacing w:before="193" w:line="194"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65279C" w:rsidRDefault="00076F58">
      <w:pPr>
        <w:numPr>
          <w:ilvl w:val="0"/>
          <w:numId w:val="1"/>
        </w:numPr>
        <w:kinsoku w:val="0"/>
        <w:overflowPunct w:val="0"/>
        <w:autoSpaceDE/>
        <w:autoSpaceDN/>
        <w:adjustRightInd/>
        <w:spacing w:before="197" w:line="193"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operativo, 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un 10%; y el "Criterio U" que es el del usuario, el restante 45%.</w:t>
      </w:r>
    </w:p>
    <w:p w:rsidR="0065279C" w:rsidRDefault="00076F58">
      <w:pPr>
        <w:numPr>
          <w:ilvl w:val="0"/>
          <w:numId w:val="1"/>
        </w:numPr>
        <w:kinsoku w:val="0"/>
        <w:overflowPunct w:val="0"/>
        <w:autoSpaceDE/>
        <w:autoSpaceDN/>
        <w:adjustRightInd/>
        <w:spacing w:before="185" w:line="194"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65279C" w:rsidRDefault="00076F58">
      <w:pPr>
        <w:numPr>
          <w:ilvl w:val="0"/>
          <w:numId w:val="1"/>
        </w:numPr>
        <w:kinsoku w:val="0"/>
        <w:overflowPunct w:val="0"/>
        <w:autoSpaceDE/>
        <w:autoSpaceDN/>
        <w:adjustRightInd/>
        <w:spacing w:before="193" w:line="194" w:lineRule="exact"/>
        <w:ind w:right="648"/>
        <w:jc w:val="both"/>
        <w:textAlignment w:val="baseline"/>
        <w:rPr>
          <w:rFonts w:ascii="Verdana" w:hAnsi="Verdana" w:cs="Verdana"/>
          <w:b/>
          <w:bCs/>
          <w:i/>
          <w:iCs/>
          <w:spacing w:val="-2"/>
          <w:sz w:val="16"/>
          <w:szCs w:val="16"/>
          <w:lang w:val="es-ES" w:eastAsia="es-ES"/>
        </w:rPr>
      </w:pPr>
      <w:r>
        <w:rPr>
          <w:rFonts w:ascii="Verdana" w:hAnsi="Verdana" w:cs="Verdana"/>
          <w:i/>
          <w:iCs/>
          <w:spacing w:val="-2"/>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2"/>
          <w:sz w:val="16"/>
          <w:szCs w:val="16"/>
          <w:lang w:val="es-ES" w:eastAsia="es-ES"/>
        </w:rPr>
        <w:t xml:space="preserve">debe realizarse en un plazo de 3 meses calendario, </w:t>
      </w:r>
      <w:r>
        <w:rPr>
          <w:rFonts w:ascii="Verdana" w:hAnsi="Verdana" w:cs="Verdana"/>
          <w:i/>
          <w:iCs/>
          <w:spacing w:val="-2"/>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2"/>
          <w:sz w:val="16"/>
          <w:szCs w:val="16"/>
          <w:lang w:val="es-ES" w:eastAsia="es-ES"/>
        </w:rPr>
        <w:t xml:space="preserve">comunicar por escrito </w:t>
      </w:r>
      <w:r>
        <w:rPr>
          <w:rFonts w:ascii="Verdana" w:hAnsi="Verdana" w:cs="Verdana"/>
          <w:i/>
          <w:iCs/>
          <w:spacing w:val="-2"/>
          <w:sz w:val="16"/>
          <w:szCs w:val="16"/>
          <w:lang w:val="es-ES" w:eastAsia="es-ES"/>
        </w:rPr>
        <w:t xml:space="preserve">al CTP, el inicio del proceso de evaluación de la conformidad, con una antelación de </w:t>
      </w:r>
      <w:r>
        <w:rPr>
          <w:rFonts w:ascii="Verdana" w:hAnsi="Verdana" w:cs="Verdana"/>
          <w:b/>
          <w:bCs/>
          <w:i/>
          <w:iCs/>
          <w:spacing w:val="-2"/>
          <w:sz w:val="16"/>
          <w:szCs w:val="16"/>
          <w:lang w:val="es-ES" w:eastAsia="es-ES"/>
        </w:rPr>
        <w:t xml:space="preserve">diez días hábiles </w:t>
      </w:r>
      <w:r>
        <w:rPr>
          <w:rFonts w:ascii="Verdana" w:hAnsi="Verdana" w:cs="Verdana"/>
          <w:i/>
          <w:iCs/>
          <w:spacing w:val="-2"/>
          <w:sz w:val="16"/>
          <w:szCs w:val="16"/>
          <w:lang w:val="es-ES" w:eastAsia="es-ES"/>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2"/>
          <w:sz w:val="16"/>
          <w:szCs w:val="16"/>
          <w:lang w:val="es-ES" w:eastAsia="es-ES"/>
        </w:rPr>
        <w:t xml:space="preserve">se debe muestrear antes del 31 de </w:t>
      </w:r>
      <w:proofErr w:type="gramStart"/>
      <w:r>
        <w:rPr>
          <w:rFonts w:ascii="Verdana" w:hAnsi="Verdana" w:cs="Verdana"/>
          <w:b/>
          <w:bCs/>
          <w:i/>
          <w:iCs/>
          <w:spacing w:val="-2"/>
          <w:sz w:val="16"/>
          <w:szCs w:val="16"/>
          <w:lang w:val="es-ES" w:eastAsia="es-ES"/>
        </w:rPr>
        <w:t>Diciembre</w:t>
      </w:r>
      <w:proofErr w:type="gramEnd"/>
      <w:r>
        <w:rPr>
          <w:rFonts w:ascii="Verdana" w:hAnsi="Verdana" w:cs="Verdana"/>
          <w:b/>
          <w:bCs/>
          <w:i/>
          <w:iCs/>
          <w:spacing w:val="-2"/>
          <w:sz w:val="16"/>
          <w:szCs w:val="16"/>
          <w:lang w:val="es-ES" w:eastAsia="es-ES"/>
        </w:rPr>
        <w:t xml:space="preserve"> del 2017.</w:t>
      </w:r>
    </w:p>
    <w:p w:rsidR="0065279C" w:rsidRDefault="00076F58">
      <w:pPr>
        <w:numPr>
          <w:ilvl w:val="0"/>
          <w:numId w:val="2"/>
        </w:numPr>
        <w:kinsoku w:val="0"/>
        <w:overflowPunct w:val="0"/>
        <w:autoSpaceDE/>
        <w:autoSpaceDN/>
        <w:adjustRightInd/>
        <w:spacing w:before="197" w:line="197" w:lineRule="exact"/>
        <w:ind w:right="648"/>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Se establecen las Excepciones y dispensas del requisito de contratación de Organismos de Inspección Acreditados ante el ECA para el año 2017, </w:t>
      </w:r>
      <w:r>
        <w:rPr>
          <w:rFonts w:ascii="Verdana" w:hAnsi="Verdana" w:cs="Verdana"/>
          <w:i/>
          <w:iCs/>
          <w:spacing w:val="-1"/>
          <w:sz w:val="16"/>
          <w:szCs w:val="16"/>
          <w:lang w:val="es-ES" w:eastAsia="es-ES"/>
        </w:rPr>
        <w:t>considerando que en apego a los</w:t>
      </w:r>
    </w:p>
    <w:p w:rsidR="0065279C" w:rsidRDefault="00076F58" w:rsidP="0022653D">
      <w:pPr>
        <w:tabs>
          <w:tab w:val="left" w:pos="6480"/>
        </w:tabs>
        <w:kinsoku w:val="0"/>
        <w:overflowPunct w:val="0"/>
        <w:autoSpaceDE/>
        <w:autoSpaceDN/>
        <w:adjustRightInd/>
        <w:spacing w:before="13" w:line="196" w:lineRule="exact"/>
        <w:ind w:left="216" w:right="648"/>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criterios de razonabilidad y proporcionalidad que rigen la materia,</w:t>
      </w:r>
      <w:r w:rsidR="0022653D">
        <w:rPr>
          <w:rFonts w:ascii="Verdana" w:hAnsi="Verdana" w:cs="Verdana"/>
          <w:i/>
          <w:iCs/>
          <w:spacing w:val="-3"/>
          <w:sz w:val="16"/>
          <w:szCs w:val="16"/>
          <w:lang w:val="es-ES" w:eastAsia="es-ES"/>
        </w:rPr>
        <w:t xml:space="preserve"> </w:t>
      </w:r>
      <w:r>
        <w:rPr>
          <w:rFonts w:ascii="Verdana" w:hAnsi="Verdana" w:cs="Verdana"/>
          <w:i/>
          <w:iCs/>
          <w:spacing w:val="-3"/>
          <w:sz w:val="16"/>
          <w:szCs w:val="16"/>
          <w:lang w:val="es-ES" w:eastAsia="es-ES"/>
        </w:rPr>
        <w:t xml:space="preserve">los concesionarios y permisionarios contarán con un plazo máximo </w:t>
      </w:r>
      <w:r>
        <w:rPr>
          <w:rFonts w:ascii="Verdana" w:hAnsi="Verdana" w:cs="Verdana"/>
          <w:b/>
          <w:bCs/>
          <w:i/>
          <w:iCs/>
          <w:spacing w:val="-3"/>
          <w:sz w:val="16"/>
          <w:szCs w:val="16"/>
          <w:lang w:val="es-ES" w:eastAsia="es-ES"/>
        </w:rPr>
        <w:t xml:space="preserve">improrrogable </w:t>
      </w:r>
      <w:r>
        <w:rPr>
          <w:rFonts w:ascii="Verdana" w:hAnsi="Verdana" w:cs="Verdana"/>
          <w:i/>
          <w:iCs/>
          <w:spacing w:val="-3"/>
          <w:sz w:val="16"/>
          <w:szCs w:val="16"/>
          <w:lang w:val="es-ES" w:eastAsia="es-ES"/>
        </w:rPr>
        <w:t xml:space="preserve">hasta el </w:t>
      </w:r>
      <w:r>
        <w:rPr>
          <w:rFonts w:ascii="Verdana" w:hAnsi="Verdana" w:cs="Verdana"/>
          <w:b/>
          <w:bCs/>
          <w:i/>
          <w:iCs/>
          <w:spacing w:val="-3"/>
          <w:sz w:val="16"/>
          <w:szCs w:val="16"/>
          <w:u w:val="single"/>
          <w:lang w:val="es-ES" w:eastAsia="es-ES"/>
        </w:rPr>
        <w:t xml:space="preserve">1 de agosto del 2017, </w:t>
      </w:r>
      <w:r>
        <w:rPr>
          <w:rFonts w:ascii="Verdana" w:hAnsi="Verdana" w:cs="Verdana"/>
          <w:i/>
          <w:iCs/>
          <w:spacing w:val="-3"/>
          <w:sz w:val="16"/>
          <w:szCs w:val="16"/>
          <w:u w:val="single"/>
          <w:lang w:val="es-ES" w:eastAsia="es-ES"/>
        </w:rPr>
        <w:t xml:space="preserve">para  demostrar ante el </w:t>
      </w:r>
      <w:r w:rsidR="0022653D">
        <w:rPr>
          <w:rFonts w:ascii="Verdana" w:hAnsi="Verdana" w:cs="Verdana"/>
          <w:i/>
          <w:iCs/>
          <w:spacing w:val="-3"/>
          <w:sz w:val="16"/>
          <w:szCs w:val="16"/>
          <w:u w:val="single"/>
          <w:lang w:val="es-ES" w:eastAsia="es-ES"/>
        </w:rPr>
        <w:t>Consejo</w:t>
      </w:r>
      <w:r>
        <w:rPr>
          <w:rFonts w:ascii="Verdana" w:hAnsi="Verdana" w:cs="Verdana"/>
          <w:i/>
          <w:iCs/>
          <w:spacing w:val="-3"/>
          <w:sz w:val="16"/>
          <w:szCs w:val="16"/>
          <w:u w:val="single"/>
          <w:lang w:val="es-ES" w:eastAsia="es-ES"/>
        </w:rPr>
        <w:t xml:space="preserve"> de Transporte Público, </w:t>
      </w:r>
      <w:r>
        <w:rPr>
          <w:rFonts w:ascii="Verdana" w:hAnsi="Verdana" w:cs="Verdana"/>
          <w:b/>
          <w:bCs/>
          <w:i/>
          <w:iCs/>
          <w:spacing w:val="-3"/>
          <w:sz w:val="16"/>
          <w:szCs w:val="16"/>
          <w:u w:val="single"/>
          <w:lang w:val="es-ES" w:eastAsia="es-ES"/>
        </w:rPr>
        <w:t>la imposibilidad de aplicar la evaluación de inconformidad contratando Organismos de Evaluación acreditados ante el ECA;</w:t>
      </w:r>
      <w:r>
        <w:rPr>
          <w:rFonts w:ascii="Verdana" w:hAnsi="Verdana" w:cs="Verdana"/>
          <w:i/>
          <w:iCs/>
          <w:spacing w:val="-3"/>
          <w:sz w:val="16"/>
          <w:szCs w:val="16"/>
          <w:lang w:val="es-ES" w:eastAsia="es-ES"/>
        </w:rPr>
        <w:t xml:space="preserve"> para lo cual deberán demostrar con </w:t>
      </w:r>
      <w:r>
        <w:rPr>
          <w:rFonts w:ascii="Verdana" w:hAnsi="Verdana" w:cs="Verdana"/>
          <w:b/>
          <w:bCs/>
          <w:i/>
          <w:iCs/>
          <w:spacing w:val="-3"/>
          <w:sz w:val="16"/>
          <w:szCs w:val="16"/>
          <w:u w:val="single"/>
          <w:lang w:val="es-ES" w:eastAsia="es-ES"/>
        </w:rPr>
        <w:t>documentos idóneos,</w:t>
      </w:r>
      <w:r>
        <w:rPr>
          <w:rFonts w:ascii="Verdana" w:hAnsi="Verdana" w:cs="Verdana"/>
          <w:i/>
          <w:iCs/>
          <w:spacing w:val="-3"/>
          <w:sz w:val="16"/>
          <w:szCs w:val="16"/>
          <w:lang w:val="es-ES" w:eastAsia="es-ES"/>
        </w:rPr>
        <w:t xml:space="preserve"> que gestionaron </w:t>
      </w:r>
      <w:r>
        <w:rPr>
          <w:rFonts w:ascii="Verdana" w:hAnsi="Verdana" w:cs="Verdana"/>
          <w:b/>
          <w:bCs/>
          <w:i/>
          <w:iCs/>
          <w:spacing w:val="-3"/>
          <w:sz w:val="16"/>
          <w:szCs w:val="16"/>
          <w:u w:val="single"/>
          <w:lang w:val="es-ES" w:eastAsia="es-ES"/>
        </w:rPr>
        <w:t>ante todos los organismos de inspección acreditados por el ECA,</w:t>
      </w:r>
      <w:r>
        <w:rPr>
          <w:rFonts w:ascii="Verdana" w:hAnsi="Verdana" w:cs="Verdana"/>
          <w:i/>
          <w:iCs/>
          <w:spacing w:val="-3"/>
          <w:sz w:val="16"/>
          <w:szCs w:val="16"/>
          <w:lang w:val="es-ES" w:eastAsia="es-ES"/>
        </w:rPr>
        <w:t xml:space="preserve"> la cotización para la realización y levantamiento del estudio de calidad del año 2017, </w:t>
      </w:r>
      <w:r>
        <w:rPr>
          <w:rFonts w:ascii="Verdana" w:hAnsi="Verdana" w:cs="Verdana"/>
          <w:i/>
          <w:iCs/>
          <w:spacing w:val="-3"/>
          <w:sz w:val="16"/>
          <w:szCs w:val="16"/>
          <w:u w:val="single"/>
          <w:lang w:val="es-ES" w:eastAsia="es-ES"/>
        </w:rPr>
        <w:t xml:space="preserve">y </w:t>
      </w:r>
      <w:r w:rsidR="0022653D">
        <w:rPr>
          <w:rFonts w:ascii="Verdana" w:hAnsi="Verdana" w:cs="Verdana"/>
          <w:i/>
          <w:iCs/>
          <w:spacing w:val="-3"/>
          <w:sz w:val="16"/>
          <w:szCs w:val="16"/>
          <w:u w:val="single"/>
          <w:lang w:val="es-ES" w:eastAsia="es-ES"/>
        </w:rPr>
        <w:t>que</w:t>
      </w:r>
      <w:r>
        <w:rPr>
          <w:rFonts w:ascii="Verdana" w:hAnsi="Verdana" w:cs="Verdana"/>
          <w:i/>
          <w:iCs/>
          <w:spacing w:val="-3"/>
          <w:sz w:val="16"/>
          <w:szCs w:val="16"/>
          <w:u w:val="single"/>
          <w:lang w:val="es-ES" w:eastAsia="es-ES"/>
        </w:rPr>
        <w:t xml:space="preserve"> estas </w:t>
      </w:r>
      <w:r w:rsidR="0022653D">
        <w:rPr>
          <w:rFonts w:ascii="Verdana" w:hAnsi="Verdana" w:cs="Verdana"/>
          <w:i/>
          <w:iCs/>
          <w:spacing w:val="-3"/>
          <w:sz w:val="16"/>
          <w:szCs w:val="16"/>
          <w:u w:val="single"/>
          <w:lang w:val="es-ES" w:eastAsia="es-ES"/>
        </w:rPr>
        <w:t>diligencias</w:t>
      </w:r>
      <w:r>
        <w:rPr>
          <w:rFonts w:ascii="Verdana" w:hAnsi="Verdana" w:cs="Verdana"/>
          <w:i/>
          <w:iCs/>
          <w:spacing w:val="-3"/>
          <w:sz w:val="16"/>
          <w:szCs w:val="16"/>
          <w:u w:val="single"/>
          <w:lang w:val="es-ES" w:eastAsia="es-ES"/>
        </w:rPr>
        <w:t xml:space="preserve"> fueron infructuosas, por hechos no imputables al prestatario.</w:t>
      </w:r>
      <w:r>
        <w:rPr>
          <w:rFonts w:ascii="Verdana" w:hAnsi="Verdana" w:cs="Verdana"/>
          <w:i/>
          <w:iCs/>
          <w:spacing w:val="-3"/>
          <w:sz w:val="16"/>
          <w:szCs w:val="16"/>
          <w:lang w:val="es-ES" w:eastAsia="es-ES"/>
        </w:rPr>
        <w:t xml:space="preserve"> Para la eventual aplicación de esta condición de excepcionalidad y dispensa, </w:t>
      </w:r>
      <w:r>
        <w:rPr>
          <w:rFonts w:ascii="Verdana" w:hAnsi="Verdana" w:cs="Verdana"/>
          <w:b/>
          <w:bCs/>
          <w:i/>
          <w:iCs/>
          <w:spacing w:val="-3"/>
          <w:sz w:val="16"/>
          <w:szCs w:val="16"/>
          <w:u w:val="single"/>
          <w:lang w:val="es-ES" w:eastAsia="es-ES"/>
        </w:rPr>
        <w:t>se tienen como documentos probatorios idóneos,</w:t>
      </w:r>
      <w:r>
        <w:rPr>
          <w:rFonts w:ascii="Verdana" w:hAnsi="Verdana" w:cs="Verdana"/>
          <w:i/>
          <w:iCs/>
          <w:spacing w:val="-3"/>
          <w:sz w:val="16"/>
          <w:szCs w:val="16"/>
          <w:lang w:val="es-ES" w:eastAsia="es-ES"/>
        </w:rPr>
        <w:t xml:space="preserve"> los que seguidamente se señalan; mismos que deberá presentar el interesado </w:t>
      </w:r>
      <w:r>
        <w:rPr>
          <w:rFonts w:ascii="Verdana" w:hAnsi="Verdana" w:cs="Verdana"/>
          <w:b/>
          <w:bCs/>
          <w:i/>
          <w:iCs/>
          <w:spacing w:val="-3"/>
          <w:sz w:val="16"/>
          <w:szCs w:val="16"/>
          <w:u w:val="single"/>
          <w:lang w:val="es-ES" w:eastAsia="es-ES"/>
        </w:rPr>
        <w:t>en su totalidad,</w:t>
      </w:r>
      <w:r>
        <w:rPr>
          <w:rFonts w:ascii="Verdana" w:hAnsi="Verdana" w:cs="Verdana"/>
          <w:i/>
          <w:iCs/>
          <w:spacing w:val="-3"/>
          <w:sz w:val="16"/>
          <w:szCs w:val="16"/>
          <w:lang w:val="es-ES" w:eastAsia="es-ES"/>
        </w:rPr>
        <w:t xml:space="preserve"> conjuntamente con la petición justificada de aplicación de</w:t>
      </w:r>
    </w:p>
    <w:p w:rsidR="0065279C" w:rsidRDefault="0065279C">
      <w:pPr>
        <w:widowControl/>
        <w:rPr>
          <w:sz w:val="24"/>
          <w:szCs w:val="24"/>
        </w:rPr>
        <w:sectPr w:rsidR="0065279C">
          <w:pgSz w:w="12298" w:h="15763"/>
          <w:pgMar w:top="800" w:right="1569" w:bottom="327" w:left="1809" w:header="720" w:footer="720" w:gutter="0"/>
          <w:cols w:space="720"/>
          <w:noEndnote/>
        </w:sectPr>
      </w:pPr>
    </w:p>
    <w:p w:rsidR="0065279C" w:rsidRDefault="00076F58">
      <w:pPr>
        <w:kinsoku w:val="0"/>
        <w:overflowPunct w:val="0"/>
        <w:autoSpaceDE/>
        <w:autoSpaceDN/>
        <w:adjustRightInd/>
        <w:spacing w:before="21" w:line="189" w:lineRule="exact"/>
        <w:ind w:left="432" w:right="432"/>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lastRenderedPageBreak/>
        <w:t xml:space="preserve">la dispensa ante esta Autoridad, para su valoración y resolución final, </w:t>
      </w:r>
      <w:r>
        <w:rPr>
          <w:rFonts w:ascii="Verdana" w:hAnsi="Verdana" w:cs="Verdana"/>
          <w:b/>
          <w:bCs/>
          <w:i/>
          <w:iCs/>
          <w:sz w:val="16"/>
          <w:szCs w:val="16"/>
          <w:lang w:val="es-ES" w:eastAsia="es-ES"/>
        </w:rPr>
        <w:t>a más tardar el 1 de agosto del 2017:</w:t>
      </w:r>
    </w:p>
    <w:p w:rsidR="0065279C" w:rsidRDefault="00076F58">
      <w:pPr>
        <w:kinsoku w:val="0"/>
        <w:overflowPunct w:val="0"/>
        <w:autoSpaceDE/>
        <w:autoSpaceDN/>
        <w:adjustRightInd/>
        <w:spacing w:before="182" w:line="194" w:lineRule="exact"/>
        <w:ind w:left="648"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65279C" w:rsidRDefault="00076F58">
      <w:pPr>
        <w:kinsoku w:val="0"/>
        <w:overflowPunct w:val="0"/>
        <w:autoSpaceDE/>
        <w:autoSpaceDN/>
        <w:adjustRightInd/>
        <w:spacing w:line="191" w:lineRule="exact"/>
        <w:ind w:left="648"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65279C" w:rsidRDefault="00076F58">
      <w:pPr>
        <w:kinsoku w:val="0"/>
        <w:overflowPunct w:val="0"/>
        <w:autoSpaceDE/>
        <w:autoSpaceDN/>
        <w:adjustRightInd/>
        <w:spacing w:line="192" w:lineRule="exact"/>
        <w:ind w:left="648"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65279C" w:rsidRDefault="00076F58">
      <w:pPr>
        <w:kinsoku w:val="0"/>
        <w:overflowPunct w:val="0"/>
        <w:autoSpaceDE/>
        <w:autoSpaceDN/>
        <w:adjustRightInd/>
        <w:spacing w:before="195" w:line="194" w:lineRule="exact"/>
        <w:ind w:left="432" w:right="432"/>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65279C" w:rsidRDefault="00076F58">
      <w:pPr>
        <w:kinsoku w:val="0"/>
        <w:overflowPunct w:val="0"/>
        <w:autoSpaceDE/>
        <w:autoSpaceDN/>
        <w:adjustRightInd/>
        <w:spacing w:before="4" w:line="194" w:lineRule="exact"/>
        <w:ind w:left="432"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Una vez recibida la gestión en la que se alegue la imposibilidad de contratar un ente acreditado ante el CTP, éste contará con un plazo </w:t>
      </w:r>
      <w:r>
        <w:rPr>
          <w:rFonts w:ascii="Verdana" w:hAnsi="Verdana" w:cs="Verdana"/>
          <w:b/>
          <w:bCs/>
          <w:i/>
          <w:iCs/>
          <w:spacing w:val="-2"/>
          <w:sz w:val="16"/>
          <w:szCs w:val="16"/>
          <w:u w:val="single"/>
          <w:lang w:val="es-ES" w:eastAsia="es-ES"/>
        </w:rPr>
        <w:t>máximo de 15 días naturales</w:t>
      </w:r>
      <w:r>
        <w:rPr>
          <w:rFonts w:ascii="Verdana" w:hAnsi="Verdana" w:cs="Verdana"/>
          <w:i/>
          <w:iCs/>
          <w:spacing w:val="-2"/>
          <w:sz w:val="16"/>
          <w:szCs w:val="16"/>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65279C" w:rsidRDefault="00076F58">
      <w:pPr>
        <w:numPr>
          <w:ilvl w:val="0"/>
          <w:numId w:val="3"/>
        </w:numPr>
        <w:kinsoku w:val="0"/>
        <w:overflowPunct w:val="0"/>
        <w:autoSpaceDE/>
        <w:autoSpaceDN/>
        <w:adjustRightInd/>
        <w:spacing w:before="192" w:line="194" w:lineRule="exact"/>
        <w:ind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pacing w:val="-2"/>
          <w:sz w:val="16"/>
          <w:szCs w:val="16"/>
          <w:u w:val="single"/>
          <w:lang w:val="es-ES" w:eastAsia="es-ES"/>
        </w:rPr>
        <w:t>sin excepción alguna</w:t>
      </w:r>
      <w:r>
        <w:rPr>
          <w:rFonts w:ascii="Verdana" w:hAnsi="Verdana" w:cs="Verdana"/>
          <w:i/>
          <w:iCs/>
          <w:spacing w:val="-2"/>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65279C" w:rsidRDefault="00076F58">
      <w:pPr>
        <w:numPr>
          <w:ilvl w:val="0"/>
          <w:numId w:val="3"/>
        </w:numPr>
        <w:kinsoku w:val="0"/>
        <w:overflowPunct w:val="0"/>
        <w:autoSpaceDE/>
        <w:autoSpaceDN/>
        <w:adjustRightInd/>
        <w:spacing w:before="196" w:line="194" w:lineRule="exact"/>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Notifíquese: (...)</w:t>
      </w:r>
    </w:p>
    <w:p w:rsidR="0065279C" w:rsidRDefault="00076F58">
      <w:pPr>
        <w:numPr>
          <w:ilvl w:val="0"/>
          <w:numId w:val="4"/>
        </w:numPr>
        <w:kinsoku w:val="0"/>
        <w:overflowPunct w:val="0"/>
        <w:autoSpaceDE/>
        <w:autoSpaceDN/>
        <w:adjustRightInd/>
        <w:spacing w:before="187" w:line="192" w:lineRule="exact"/>
        <w:jc w:val="both"/>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Se declara firme. -"</w:t>
      </w:r>
    </w:p>
    <w:p w:rsidR="0065279C" w:rsidRDefault="00076F58">
      <w:pPr>
        <w:kinsoku w:val="0"/>
        <w:overflowPunct w:val="0"/>
        <w:autoSpaceDE/>
        <w:autoSpaceDN/>
        <w:adjustRightInd/>
        <w:spacing w:before="528" w:line="290" w:lineRule="exact"/>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SEGUNDO: </w:t>
      </w:r>
      <w:r>
        <w:rPr>
          <w:rFonts w:ascii="Verdana" w:hAnsi="Verdana" w:cs="Verdana"/>
          <w:spacing w:val="-1"/>
          <w:sz w:val="24"/>
          <w:szCs w:val="24"/>
          <w:lang w:val="es-ES" w:eastAsia="es-ES"/>
        </w:rPr>
        <w:t xml:space="preserve">La empresa recurrente se presenta el día 15 de junio de 2017 ante el Tribunal Administrativo de Transporte, e interpone Recurso de Apelación, manifestando que mediante el artículo </w:t>
      </w:r>
      <w:r>
        <w:rPr>
          <w:rFonts w:ascii="Verdana" w:hAnsi="Verdana" w:cs="Verdana"/>
          <w:b/>
          <w:bCs/>
          <w:spacing w:val="-1"/>
          <w:sz w:val="24"/>
          <w:szCs w:val="24"/>
          <w:lang w:val="es-ES" w:eastAsia="es-ES"/>
        </w:rPr>
        <w:t xml:space="preserve">7.18 de la Sesión Ordinaria 23-2017 de 7 de junio de 2017, </w:t>
      </w:r>
      <w:r>
        <w:rPr>
          <w:rFonts w:ascii="Verdana" w:hAnsi="Verdana" w:cs="Verdana"/>
          <w:spacing w:val="-1"/>
          <w:sz w:val="24"/>
          <w:szCs w:val="24"/>
          <w:lang w:val="es-ES" w:eastAsia="es-ES"/>
        </w:rPr>
        <w:t xml:space="preserve">se establecen los plazos y condiciones en que ha de presentarse la Calidad del Servicio 2017, y entre otros se dispone que debe contratarse con organismos acreditados ante el </w:t>
      </w:r>
      <w:r>
        <w:rPr>
          <w:rFonts w:ascii="Verdana" w:hAnsi="Verdana" w:cs="Verdana"/>
          <w:b/>
          <w:bCs/>
          <w:spacing w:val="-1"/>
          <w:sz w:val="24"/>
          <w:szCs w:val="24"/>
          <w:lang w:val="es-ES" w:eastAsia="es-ES"/>
        </w:rPr>
        <w:t xml:space="preserve">ECA (Ente Costarricense de Acreditación). </w:t>
      </w:r>
      <w:r>
        <w:rPr>
          <w:rFonts w:ascii="Verdana" w:hAnsi="Verdana" w:cs="Verdana"/>
          <w:spacing w:val="-1"/>
          <w:sz w:val="24"/>
          <w:szCs w:val="24"/>
          <w:lang w:val="es-ES" w:eastAsia="es-ES"/>
        </w:rPr>
        <w:t xml:space="preserve">Indica que no se ha tomado en cuenta la posición reiterada por el ECA en el sentido que actualmente no cuenta con organismos acreditados en la materia de Transporte Público como se pude verificar del oficio </w:t>
      </w:r>
      <w:r>
        <w:rPr>
          <w:rFonts w:ascii="Verdana" w:hAnsi="Verdana" w:cs="Verdana"/>
          <w:b/>
          <w:bCs/>
          <w:spacing w:val="-1"/>
          <w:sz w:val="24"/>
          <w:szCs w:val="24"/>
          <w:lang w:val="es-ES" w:eastAsia="es-ES"/>
        </w:rPr>
        <w:t xml:space="preserve">ECA-G-2017-075 del 24 de abril de 2017 </w:t>
      </w:r>
      <w:r>
        <w:rPr>
          <w:rFonts w:ascii="Verdana" w:hAnsi="Verdana" w:cs="Verdana"/>
          <w:spacing w:val="-1"/>
          <w:sz w:val="24"/>
          <w:szCs w:val="24"/>
          <w:lang w:val="es-ES" w:eastAsia="es-ES"/>
        </w:rPr>
        <w:t>dirigido a la L</w:t>
      </w:r>
      <w:r w:rsidR="0022653D">
        <w:rPr>
          <w:rFonts w:ascii="Verdana" w:hAnsi="Verdana" w:cs="Verdana"/>
          <w:spacing w:val="-1"/>
          <w:sz w:val="24"/>
          <w:szCs w:val="24"/>
          <w:lang w:val="es-ES" w:eastAsia="es-ES"/>
        </w:rPr>
        <w:t xml:space="preserve">icda. </w:t>
      </w:r>
      <w:r>
        <w:rPr>
          <w:rFonts w:ascii="Verdana" w:hAnsi="Verdana" w:cs="Verdana"/>
          <w:spacing w:val="-1"/>
          <w:sz w:val="24"/>
          <w:szCs w:val="24"/>
          <w:lang w:val="es-ES" w:eastAsia="es-ES"/>
        </w:rPr>
        <w:t>L</w:t>
      </w:r>
      <w:r w:rsidR="0022653D">
        <w:rPr>
          <w:rFonts w:ascii="Verdana" w:hAnsi="Verdana" w:cs="Verdana"/>
          <w:spacing w:val="-1"/>
          <w:sz w:val="24"/>
          <w:szCs w:val="24"/>
          <w:lang w:val="es-ES" w:eastAsia="es-ES"/>
        </w:rPr>
        <w:t>.M.R.R.</w:t>
      </w:r>
      <w:r>
        <w:rPr>
          <w:rFonts w:ascii="Verdana" w:hAnsi="Verdana" w:cs="Verdana"/>
          <w:spacing w:val="-1"/>
          <w:sz w:val="24"/>
          <w:szCs w:val="24"/>
          <w:lang w:val="es-ES" w:eastAsia="es-ES"/>
        </w:rPr>
        <w:t xml:space="preserve">, así mismo, en oficio </w:t>
      </w:r>
      <w:r>
        <w:rPr>
          <w:rFonts w:ascii="Verdana" w:hAnsi="Verdana" w:cs="Verdana"/>
          <w:b/>
          <w:bCs/>
          <w:spacing w:val="-1"/>
          <w:sz w:val="24"/>
          <w:szCs w:val="24"/>
          <w:lang w:val="es-ES" w:eastAsia="es-ES"/>
        </w:rPr>
        <w:t xml:space="preserve">ECA-G2017-100 de 9 de mayo de 2017. </w:t>
      </w:r>
      <w:r>
        <w:rPr>
          <w:rFonts w:ascii="Verdana" w:hAnsi="Verdana" w:cs="Verdana"/>
          <w:spacing w:val="-1"/>
          <w:sz w:val="24"/>
          <w:szCs w:val="24"/>
          <w:lang w:val="es-ES" w:eastAsia="es-ES"/>
        </w:rPr>
        <w:t xml:space="preserve">El acuerdo recurrido tampoco toma en consideración el oficio número </w:t>
      </w:r>
      <w:r>
        <w:rPr>
          <w:rFonts w:ascii="Verdana" w:hAnsi="Verdana" w:cs="Verdana"/>
          <w:b/>
          <w:bCs/>
          <w:spacing w:val="-1"/>
          <w:sz w:val="24"/>
          <w:szCs w:val="24"/>
          <w:lang w:val="es-ES" w:eastAsia="es-ES"/>
        </w:rPr>
        <w:t xml:space="preserve">JDG-1353-15/16 de 12 de octubre de 2016 </w:t>
      </w:r>
      <w:r>
        <w:rPr>
          <w:rFonts w:ascii="Verdana" w:hAnsi="Verdana" w:cs="Verdana"/>
          <w:spacing w:val="-1"/>
          <w:sz w:val="24"/>
          <w:szCs w:val="24"/>
          <w:lang w:val="es-ES" w:eastAsia="es-ES"/>
        </w:rPr>
        <w:t>del Colegio de Ingenieros y Arquitectos de Costa Rica y suscrito por el Ing. Olman Vargas, donde éste solicita al ECA se excluya a sus agremiados de cualquier disposición de poder ejercer la actividad de fiscalización en materia de la calidad en transporte público. Otro aspecto que argumenta el recurrente es que el acuerdo recurrido es omiso en indicar cosa alguna en relación con los costos de estos estudios y sin esta indicación la Autoridad Reguladora de los Servicios Públicos no puede incorporar en las tarifas el costo de éstos. Finalmente indica que el acuerdo va en contra de la economía procesal pues el CTP a sabiendas que el ECA reiteradamente ha manifestado no contar con profesionales acreditados para llevar a cabo dichos estudios</w:t>
      </w:r>
    </w:p>
    <w:p w:rsidR="0065279C" w:rsidRDefault="0065279C">
      <w:pPr>
        <w:widowControl/>
        <w:rPr>
          <w:sz w:val="24"/>
          <w:szCs w:val="24"/>
        </w:rPr>
        <w:sectPr w:rsidR="0065279C">
          <w:pgSz w:w="12298" w:h="15706"/>
          <w:pgMar w:top="940" w:right="1492" w:bottom="233" w:left="1886" w:header="720" w:footer="720" w:gutter="0"/>
          <w:cols w:space="720"/>
          <w:noEndnote/>
        </w:sectPr>
      </w:pPr>
    </w:p>
    <w:p w:rsidR="0065279C" w:rsidRPr="0022653D" w:rsidRDefault="00076F58">
      <w:pPr>
        <w:kinsoku w:val="0"/>
        <w:overflowPunct w:val="0"/>
        <w:autoSpaceDE/>
        <w:autoSpaceDN/>
        <w:adjustRightInd/>
        <w:spacing w:line="289" w:lineRule="exact"/>
        <w:ind w:right="72"/>
        <w:jc w:val="both"/>
        <w:textAlignment w:val="baseline"/>
        <w:rPr>
          <w:rFonts w:ascii="Verdana" w:hAnsi="Verdana" w:cs="Verdana"/>
          <w:spacing w:val="-1"/>
          <w:sz w:val="24"/>
          <w:szCs w:val="24"/>
          <w:lang w:val="es-ES" w:eastAsia="es-ES"/>
        </w:rPr>
      </w:pPr>
      <w:r w:rsidRPr="0022653D">
        <w:rPr>
          <w:rFonts w:ascii="Verdana" w:hAnsi="Verdana" w:cs="Verdana"/>
          <w:spacing w:val="-1"/>
          <w:sz w:val="24"/>
          <w:szCs w:val="24"/>
          <w:lang w:val="es-ES" w:eastAsia="es-ES"/>
        </w:rPr>
        <w:lastRenderedPageBreak/>
        <w:t>debió generar un transitorio hasta que se cumpla en el ECA tal situación y no poder a las empresas a generar diligencias de excepción en una situación ya conocida, por lo que el acuerdo no tiene un contenido válido, por lo que solicita se revoque el acuerdo. (Léanse folios del 1 al 4 del expediente administrativo)</w:t>
      </w:r>
    </w:p>
    <w:p w:rsidR="0065279C" w:rsidRDefault="00076F58">
      <w:pPr>
        <w:kinsoku w:val="0"/>
        <w:overflowPunct w:val="0"/>
        <w:autoSpaceDE/>
        <w:autoSpaceDN/>
        <w:adjustRightInd/>
        <w:spacing w:before="293" w:line="290" w:lineRule="exact"/>
        <w:ind w:right="72"/>
        <w:jc w:val="both"/>
        <w:textAlignment w:val="baseline"/>
        <w:rPr>
          <w:rFonts w:ascii="Tahoma" w:hAnsi="Tahoma" w:cs="Tahoma"/>
          <w:spacing w:val="7"/>
          <w:sz w:val="25"/>
          <w:szCs w:val="25"/>
          <w:lang w:val="es-ES" w:eastAsia="es-ES"/>
        </w:rPr>
      </w:pPr>
      <w:r>
        <w:rPr>
          <w:rFonts w:ascii="Tahoma" w:hAnsi="Tahoma" w:cs="Tahoma"/>
          <w:b/>
          <w:bCs/>
          <w:spacing w:val="7"/>
          <w:sz w:val="25"/>
          <w:szCs w:val="25"/>
          <w:lang w:val="es-ES" w:eastAsia="es-ES"/>
        </w:rPr>
        <w:t xml:space="preserve">TERCERO: </w:t>
      </w:r>
      <w:r w:rsidRPr="0022653D">
        <w:rPr>
          <w:rFonts w:ascii="Verdana" w:hAnsi="Verdana" w:cs="Tahoma"/>
          <w:spacing w:val="7"/>
          <w:sz w:val="24"/>
          <w:szCs w:val="24"/>
          <w:lang w:val="es-ES" w:eastAsia="es-ES"/>
        </w:rPr>
        <w:t>En respuesta a prevención que le girara el Tribunal Administrativo de Transporte, el Consejo de Transporte público se apersona por escrito y manifiesta en lo conducente que su actuación se circunscribe al cumplimiento de la Ley y la Reglamentación existente, tal es el caso el Decreto Ejecutivo 28833-MOPT "Reglamento para la Evaluación de la Calidad del Servicio Público de Transporte Remunerado de Personas" y las reformas operadas en éste mediante Decretos 29760-MOPT y 38603-MOPT, en concordancia con la Ley 8279 del Sistema Nacional para la Calidad. Así mismo indica que la actuación del CTP, ha venido siendo conteste con acuerdos de Junta Directiva Anterior y criterios de la Procuraduría General de la República. Manifiesta además que no es requerido estrictamente que los estudios deban realizarse por empresas con especialidad en Transporte Público, pues lo que se valora es la correcta aplicación de la valoración de la calidad del servicio. Finalmente advierte que el Consejo de Transporte Público, ha sido claro en el acuerdo impugnado en el sentido de que, de no contarse ante el ECA con la oferta suficiente, previa demostración de tal hecho ante el CTP, las compañías podrán contratar con empresas no acreditadas ante dicho ente. (Léanse folios 105 y del 120 al 132 del expediente administrativo)</w:t>
      </w:r>
    </w:p>
    <w:p w:rsidR="0065279C" w:rsidRPr="0022653D" w:rsidRDefault="00076F58">
      <w:pPr>
        <w:kinsoku w:val="0"/>
        <w:overflowPunct w:val="0"/>
        <w:autoSpaceDE/>
        <w:autoSpaceDN/>
        <w:adjustRightInd/>
        <w:spacing w:before="311" w:line="290" w:lineRule="exact"/>
        <w:jc w:val="both"/>
        <w:textAlignment w:val="baseline"/>
        <w:rPr>
          <w:rFonts w:ascii="Verdana" w:hAnsi="Verdana" w:cs="Tahoma"/>
          <w:spacing w:val="11"/>
          <w:sz w:val="24"/>
          <w:szCs w:val="24"/>
          <w:lang w:val="es-ES" w:eastAsia="es-ES"/>
        </w:rPr>
      </w:pPr>
      <w:r>
        <w:rPr>
          <w:rFonts w:ascii="Tahoma" w:hAnsi="Tahoma" w:cs="Tahoma"/>
          <w:b/>
          <w:bCs/>
          <w:spacing w:val="11"/>
          <w:sz w:val="25"/>
          <w:szCs w:val="25"/>
          <w:lang w:val="es-ES" w:eastAsia="es-ES"/>
        </w:rPr>
        <w:t xml:space="preserve">CUARTO: </w:t>
      </w:r>
      <w:r w:rsidRPr="0022653D">
        <w:rPr>
          <w:rFonts w:ascii="Verdana" w:hAnsi="Verdana" w:cs="Tahoma"/>
          <w:spacing w:val="11"/>
          <w:sz w:val="24"/>
          <w:szCs w:val="24"/>
          <w:lang w:val="es-ES" w:eastAsia="es-ES"/>
        </w:rPr>
        <w:t>En respuesta a prevención que le realizara el Tribunal Administrativo de Transporte a la empresa recurrente para que se refiriera al apersonamiento realizado por el Consejo de Transporte Público, ésta se presenta el día 16 de agosto de 2017 y manifiesta en lo que interesa que las disposiciones contenidas en el acuerdo impugnado no tomaron en consideración la posición externada por el ECA, en cuanto a que actualmente no existen Organismos de Inspección que tengan como especialidad el transporte remunerado de personas. No toma el acuerdo recurrido el criterio externado por el Colegio Federado de Ingenieros y Arquitectos sobre el tema de trato. Y refiere la recurrente que no existe en la actualidad uña regulación de los precios que cobran los entes acreditados ante el ECA y así debe reconocerse en la tarifa y no habiendo este reconocimiento tarifario o al menos mención de los montos a reconocer la Autoridad Reguladora no los reconocerá. (Léanse folios del 155 al 158 del expediente administrativo)</w:t>
      </w:r>
    </w:p>
    <w:p w:rsidR="0065279C" w:rsidRPr="0022653D" w:rsidRDefault="00076F58">
      <w:pPr>
        <w:kinsoku w:val="0"/>
        <w:overflowPunct w:val="0"/>
        <w:autoSpaceDE/>
        <w:autoSpaceDN/>
        <w:adjustRightInd/>
        <w:spacing w:before="311" w:after="844" w:line="290" w:lineRule="exact"/>
        <w:jc w:val="both"/>
        <w:textAlignment w:val="baseline"/>
        <w:rPr>
          <w:rFonts w:ascii="Verdana" w:hAnsi="Verdana" w:cs="Tahoma"/>
          <w:sz w:val="24"/>
          <w:szCs w:val="24"/>
          <w:lang w:val="es-ES" w:eastAsia="es-ES"/>
        </w:rPr>
      </w:pPr>
      <w:r>
        <w:rPr>
          <w:rFonts w:ascii="Tahoma" w:hAnsi="Tahoma" w:cs="Tahoma"/>
          <w:b/>
          <w:bCs/>
          <w:sz w:val="25"/>
          <w:szCs w:val="25"/>
          <w:lang w:val="es-ES" w:eastAsia="es-ES"/>
        </w:rPr>
        <w:t>QUINTO</w:t>
      </w:r>
      <w:r w:rsidRPr="0022653D">
        <w:rPr>
          <w:rFonts w:ascii="Verdana" w:hAnsi="Verdana" w:cs="Tahoma"/>
          <w:b/>
          <w:bCs/>
          <w:sz w:val="24"/>
          <w:szCs w:val="24"/>
          <w:lang w:val="es-ES" w:eastAsia="es-ES"/>
        </w:rPr>
        <w:t xml:space="preserve">: </w:t>
      </w:r>
      <w:r w:rsidRPr="0022653D">
        <w:rPr>
          <w:rFonts w:ascii="Verdana" w:hAnsi="Verdana" w:cs="Tahoma"/>
          <w:sz w:val="24"/>
          <w:szCs w:val="24"/>
          <w:lang w:val="es-ES" w:eastAsia="es-ES"/>
        </w:rPr>
        <w:t xml:space="preserve">El CTP se apersona el día 16 de agosto de 2017 ante el Tribunal Administrativo de Transporte, e indica que adiciona lo dicho en otro momento aportando el oficio </w:t>
      </w:r>
      <w:r w:rsidRPr="0022653D">
        <w:rPr>
          <w:rFonts w:ascii="Verdana" w:hAnsi="Verdana" w:cs="Tahoma"/>
          <w:b/>
          <w:bCs/>
          <w:sz w:val="24"/>
          <w:szCs w:val="24"/>
          <w:lang w:val="es-ES" w:eastAsia="es-ES"/>
        </w:rPr>
        <w:t xml:space="preserve">ECA-PJD-OF-006-2017 </w:t>
      </w:r>
      <w:r w:rsidRPr="0022653D">
        <w:rPr>
          <w:rFonts w:ascii="Verdana" w:hAnsi="Verdana" w:cs="Tahoma"/>
          <w:sz w:val="24"/>
          <w:szCs w:val="24"/>
          <w:lang w:val="es-ES" w:eastAsia="es-ES"/>
        </w:rPr>
        <w:t>del ECA.</w:t>
      </w:r>
    </w:p>
    <w:p w:rsidR="0065279C" w:rsidRDefault="0065279C">
      <w:pPr>
        <w:widowControl/>
        <w:rPr>
          <w:sz w:val="24"/>
          <w:szCs w:val="24"/>
        </w:rPr>
        <w:sectPr w:rsidR="0065279C">
          <w:pgSz w:w="12298" w:h="15706"/>
          <w:pgMar w:top="780" w:right="1760" w:bottom="350" w:left="1618" w:header="720" w:footer="720" w:gutter="0"/>
          <w:cols w:space="720"/>
          <w:noEndnote/>
        </w:sectPr>
      </w:pPr>
    </w:p>
    <w:p w:rsidR="0065279C" w:rsidRDefault="0065279C">
      <w:pPr>
        <w:widowControl/>
        <w:rPr>
          <w:sz w:val="24"/>
          <w:szCs w:val="24"/>
        </w:rPr>
        <w:sectPr w:rsidR="0065279C">
          <w:type w:val="continuous"/>
          <w:pgSz w:w="12298" w:h="15706"/>
          <w:pgMar w:top="780" w:right="1751" w:bottom="350" w:left="8707" w:header="720" w:footer="720" w:gutter="0"/>
          <w:cols w:space="720"/>
          <w:noEndnote/>
        </w:sectPr>
      </w:pPr>
    </w:p>
    <w:p w:rsidR="0065279C" w:rsidRDefault="00076F58">
      <w:pPr>
        <w:kinsoku w:val="0"/>
        <w:overflowPunct w:val="0"/>
        <w:autoSpaceDE/>
        <w:autoSpaceDN/>
        <w:adjustRightInd/>
        <w:spacing w:before="32" w:line="282" w:lineRule="exact"/>
        <w:jc w:val="both"/>
        <w:textAlignment w:val="baseline"/>
        <w:rPr>
          <w:rFonts w:ascii="Tahoma" w:hAnsi="Tahoma" w:cs="Tahoma"/>
          <w:sz w:val="24"/>
          <w:szCs w:val="24"/>
          <w:lang w:val="es-ES" w:eastAsia="es-ES"/>
        </w:rPr>
      </w:pPr>
      <w:r>
        <w:rPr>
          <w:rFonts w:ascii="Tahoma" w:hAnsi="Tahoma" w:cs="Tahoma"/>
          <w:sz w:val="24"/>
          <w:szCs w:val="24"/>
          <w:lang w:val="es-ES" w:eastAsia="es-ES"/>
        </w:rPr>
        <w:lastRenderedPageBreak/>
        <w:t xml:space="preserve">Dicho </w:t>
      </w:r>
      <w:r>
        <w:rPr>
          <w:rFonts w:ascii="Tahoma" w:hAnsi="Tahoma" w:cs="Tahoma"/>
          <w:b/>
          <w:bCs/>
          <w:sz w:val="24"/>
          <w:szCs w:val="24"/>
          <w:lang w:val="es-ES" w:eastAsia="es-ES"/>
        </w:rPr>
        <w:t xml:space="preserve">oficio ECA-PJD-OF-006-2017 del 11 de agosto de 2017 del Ente Costarricense de Acreditaciones, </w:t>
      </w:r>
      <w:r>
        <w:rPr>
          <w:rFonts w:ascii="Tahoma" w:hAnsi="Tahoma" w:cs="Tahoma"/>
          <w:sz w:val="24"/>
          <w:szCs w:val="24"/>
          <w:lang w:val="es-ES" w:eastAsia="es-ES"/>
        </w:rPr>
        <w:t>determina: (Léanse folios 149 y 150, del expediente administrativo.)</w:t>
      </w:r>
    </w:p>
    <w:p w:rsidR="0065279C" w:rsidRDefault="00076F58">
      <w:pPr>
        <w:kinsoku w:val="0"/>
        <w:overflowPunct w:val="0"/>
        <w:autoSpaceDE/>
        <w:autoSpaceDN/>
        <w:adjustRightInd/>
        <w:spacing w:before="280" w:line="194" w:lineRule="exact"/>
        <w:ind w:left="360" w:right="432"/>
        <w:jc w:val="both"/>
        <w:textAlignment w:val="baseline"/>
        <w:rPr>
          <w:rFonts w:ascii="Tahoma" w:hAnsi="Tahoma" w:cs="Tahoma"/>
          <w:i/>
          <w:iCs/>
          <w:sz w:val="18"/>
          <w:szCs w:val="18"/>
          <w:lang w:val="es-ES" w:eastAsia="es-ES"/>
        </w:rPr>
      </w:pPr>
      <w:r>
        <w:rPr>
          <w:rFonts w:ascii="Tahoma" w:hAnsi="Tahoma" w:cs="Tahoma"/>
          <w:i/>
          <w:iCs/>
          <w:sz w:val="18"/>
          <w:szCs w:val="18"/>
          <w:lang w:val="es-ES" w:eastAsia="es-ES"/>
        </w:rPr>
        <w:t xml:space="preserve">" (...) La Junta Directiva del ECA, en la sesión </w:t>
      </w:r>
      <w:proofErr w:type="spellStart"/>
      <w:r>
        <w:rPr>
          <w:rFonts w:ascii="Tahoma" w:hAnsi="Tahoma" w:cs="Tahoma"/>
          <w:i/>
          <w:iCs/>
          <w:sz w:val="18"/>
          <w:szCs w:val="18"/>
          <w:lang w:val="es-ES" w:eastAsia="es-ES"/>
        </w:rPr>
        <w:t>N°</w:t>
      </w:r>
      <w:proofErr w:type="spellEnd"/>
      <w:r>
        <w:rPr>
          <w:rFonts w:ascii="Tahoma" w:hAnsi="Tahoma" w:cs="Tahoma"/>
          <w:i/>
          <w:iCs/>
          <w:sz w:val="18"/>
          <w:szCs w:val="18"/>
          <w:lang w:val="es-ES" w:eastAsia="es-ES"/>
        </w:rPr>
        <w:t xml:space="preserve"> JDE-008-2017, realizada el día 10 de agosto de 2017, acuerda emitir un comunicado para aclarar los alcances de la Nota </w:t>
      </w:r>
      <w:proofErr w:type="spellStart"/>
      <w:proofErr w:type="gramStart"/>
      <w:r>
        <w:rPr>
          <w:rFonts w:ascii="Tahoma" w:hAnsi="Tahoma" w:cs="Tahoma"/>
          <w:i/>
          <w:iCs/>
          <w:sz w:val="18"/>
          <w:szCs w:val="18"/>
          <w:lang w:val="es-ES" w:eastAsia="es-ES"/>
        </w:rPr>
        <w:t>Ref</w:t>
      </w:r>
      <w:proofErr w:type="spellEnd"/>
      <w:r>
        <w:rPr>
          <w:rFonts w:ascii="Tahoma" w:hAnsi="Tahoma" w:cs="Tahoma"/>
          <w:i/>
          <w:iCs/>
          <w:sz w:val="18"/>
          <w:szCs w:val="18"/>
          <w:lang w:val="es-ES" w:eastAsia="es-ES"/>
        </w:rPr>
        <w:t>:•</w:t>
      </w:r>
      <w:proofErr w:type="gramEnd"/>
      <w:r>
        <w:rPr>
          <w:rFonts w:ascii="Tahoma" w:hAnsi="Tahoma" w:cs="Tahoma"/>
          <w:i/>
          <w:iCs/>
          <w:sz w:val="18"/>
          <w:szCs w:val="18"/>
          <w:lang w:val="es-ES" w:eastAsia="es-ES"/>
        </w:rPr>
        <w:t xml:space="preserve"> ECA-G-2017-107 (consignada erróneamente como ECA-G-2017-10) emitida por el Gerente General. En tal sentido, se deja sin efecto lo señalado en la misiva en mención, por cuanto, no existe una conducta ilegal por parte de los organismos de inspección acreditados que ofrecen servicios de inspección para actividades no acreditadas, siempre que expresen de forma clara y exacta cuales actividades están cubiertas por el alcance de acreditación.</w:t>
      </w:r>
    </w:p>
    <w:p w:rsidR="0065279C" w:rsidRDefault="00076F58">
      <w:pPr>
        <w:kinsoku w:val="0"/>
        <w:overflowPunct w:val="0"/>
        <w:autoSpaceDE/>
        <w:autoSpaceDN/>
        <w:adjustRightInd/>
        <w:spacing w:before="200" w:line="194" w:lineRule="exact"/>
        <w:ind w:left="360" w:right="432"/>
        <w:jc w:val="both"/>
        <w:textAlignment w:val="baseline"/>
        <w:rPr>
          <w:rFonts w:ascii="Tahoma" w:hAnsi="Tahoma" w:cs="Tahoma"/>
          <w:i/>
          <w:iCs/>
          <w:sz w:val="18"/>
          <w:szCs w:val="18"/>
          <w:lang w:val="es-ES" w:eastAsia="es-ES"/>
        </w:rPr>
      </w:pPr>
      <w:r>
        <w:rPr>
          <w:rFonts w:ascii="Tahoma" w:hAnsi="Tahoma" w:cs="Tahoma"/>
          <w:i/>
          <w:iCs/>
          <w:sz w:val="18"/>
          <w:szCs w:val="18"/>
          <w:lang w:val="es-ES" w:eastAsia="es-ES"/>
        </w:rPr>
        <w:t xml:space="preserve">Se reitera que el ECA es el único ente competente a nivel nacional para llevar a cabo las actividades de acreditación, de conformidad con el artículo 21 de la Ley </w:t>
      </w:r>
      <w:proofErr w:type="spellStart"/>
      <w:r>
        <w:rPr>
          <w:rFonts w:ascii="Tahoma" w:hAnsi="Tahoma" w:cs="Tahoma"/>
          <w:i/>
          <w:iCs/>
          <w:sz w:val="18"/>
          <w:szCs w:val="18"/>
          <w:lang w:val="es-ES" w:eastAsia="es-ES"/>
        </w:rPr>
        <w:t>N°</w:t>
      </w:r>
      <w:proofErr w:type="spellEnd"/>
      <w:r>
        <w:rPr>
          <w:rFonts w:ascii="Tahoma" w:hAnsi="Tahoma" w:cs="Tahoma"/>
          <w:i/>
          <w:iCs/>
          <w:sz w:val="18"/>
          <w:szCs w:val="18"/>
          <w:lang w:val="es-ES" w:eastAsia="es-ES"/>
        </w:rPr>
        <w:t xml:space="preserve"> 8279, de manera transparente y confiable, con la meta de mantener un Sistema de Calidad sostenible y robusto a largo plazo.</w:t>
      </w:r>
    </w:p>
    <w:p w:rsidR="0065279C" w:rsidRDefault="00076F58">
      <w:pPr>
        <w:kinsoku w:val="0"/>
        <w:overflowPunct w:val="0"/>
        <w:autoSpaceDE/>
        <w:autoSpaceDN/>
        <w:adjustRightInd/>
        <w:spacing w:before="188" w:line="194" w:lineRule="exact"/>
        <w:ind w:left="360" w:right="432"/>
        <w:jc w:val="both"/>
        <w:textAlignment w:val="baseline"/>
        <w:rPr>
          <w:rFonts w:ascii="Verdana" w:hAnsi="Verdana" w:cs="Verdana"/>
          <w:b/>
          <w:bCs/>
          <w:i/>
          <w:iCs/>
          <w:sz w:val="16"/>
          <w:szCs w:val="16"/>
          <w:u w:val="single"/>
          <w:lang w:val="es-ES" w:eastAsia="es-ES"/>
        </w:rPr>
      </w:pPr>
      <w:r>
        <w:rPr>
          <w:rFonts w:ascii="Verdana" w:hAnsi="Verdana" w:cs="Verdana"/>
          <w:b/>
          <w:bCs/>
          <w:i/>
          <w:iCs/>
          <w:sz w:val="16"/>
          <w:szCs w:val="16"/>
          <w:u w:val="single"/>
          <w:lang w:val="es-ES" w:eastAsia="es-ES"/>
        </w:rPr>
        <w:t xml:space="preserve">Es potestad exclusiva del órgano regulador, en este caso el </w:t>
      </w:r>
      <w:r w:rsidR="0022653D">
        <w:rPr>
          <w:rFonts w:ascii="Verdana" w:hAnsi="Verdana" w:cs="Verdana"/>
          <w:b/>
          <w:bCs/>
          <w:i/>
          <w:iCs/>
          <w:sz w:val="16"/>
          <w:szCs w:val="16"/>
          <w:u w:val="single"/>
          <w:lang w:val="es-ES" w:eastAsia="es-ES"/>
        </w:rPr>
        <w:t>Consejo</w:t>
      </w:r>
      <w:r>
        <w:rPr>
          <w:rFonts w:ascii="Verdana" w:hAnsi="Verdana" w:cs="Verdana"/>
          <w:b/>
          <w:bCs/>
          <w:i/>
          <w:iCs/>
          <w:sz w:val="16"/>
          <w:szCs w:val="16"/>
          <w:u w:val="single"/>
          <w:lang w:val="es-ES" w:eastAsia="es-ES"/>
        </w:rPr>
        <w:t xml:space="preserve"> de Transporte Público (CTP), definir las condiciones v requisitos de contratación de los organismos de inspección para llevar a cabo las Evaluaciones de Calidad del Servicio de Transporte remunerado de personas modalidad autobuses. (..)"</w:t>
      </w:r>
    </w:p>
    <w:p w:rsidR="0065279C" w:rsidRDefault="00076F58">
      <w:pPr>
        <w:kinsoku w:val="0"/>
        <w:overflowPunct w:val="0"/>
        <w:autoSpaceDE/>
        <w:autoSpaceDN/>
        <w:adjustRightInd/>
        <w:spacing w:before="300" w:line="291" w:lineRule="exact"/>
        <w:jc w:val="both"/>
        <w:textAlignment w:val="baseline"/>
        <w:rPr>
          <w:rFonts w:ascii="Tahoma" w:hAnsi="Tahoma" w:cs="Tahoma"/>
          <w:spacing w:val="12"/>
          <w:sz w:val="24"/>
          <w:szCs w:val="24"/>
          <w:lang w:val="es-ES" w:eastAsia="es-ES"/>
        </w:rPr>
      </w:pPr>
      <w:r>
        <w:rPr>
          <w:rFonts w:ascii="Tahoma" w:hAnsi="Tahoma" w:cs="Tahoma"/>
          <w:b/>
          <w:bCs/>
          <w:spacing w:val="12"/>
          <w:sz w:val="24"/>
          <w:szCs w:val="24"/>
          <w:lang w:val="es-ES" w:eastAsia="es-ES"/>
        </w:rPr>
        <w:t xml:space="preserve">SEXTO: </w:t>
      </w:r>
      <w:r>
        <w:rPr>
          <w:rFonts w:ascii="Tahoma" w:hAnsi="Tahoma" w:cs="Tahoma"/>
          <w:spacing w:val="12"/>
          <w:sz w:val="24"/>
          <w:szCs w:val="24"/>
          <w:lang w:val="es-ES" w:eastAsia="es-ES"/>
        </w:rPr>
        <w:t xml:space="preserve">En respuesta a prevención que realizara el Tribunal Administrativo de Transporte al Consejo de Transporte Público, mediante la cual se le traslada el recurso presentado por la Asociación pro defensa de los usuarios, éste se apersona e indica en lo que interesa que: </w:t>
      </w:r>
      <w:r>
        <w:rPr>
          <w:rFonts w:ascii="Tahoma" w:hAnsi="Tahoma" w:cs="Tahoma"/>
          <w:i/>
          <w:iCs/>
          <w:spacing w:val="12"/>
          <w:sz w:val="24"/>
          <w:szCs w:val="24"/>
          <w:lang w:val="es-ES" w:eastAsia="es-ES"/>
        </w:rPr>
        <w:t xml:space="preserve">"Al respecto, es oportuno destacar, que lo atinente al modelo tarifario y los aspectos que lo integran, conforme a la Ley No. 7593, están reservados como competencia única y excluyente, a favor de la </w:t>
      </w:r>
      <w:r>
        <w:rPr>
          <w:rFonts w:ascii="Verdana" w:hAnsi="Verdana" w:cs="Verdana"/>
          <w:b/>
          <w:bCs/>
          <w:i/>
          <w:iCs/>
          <w:spacing w:val="12"/>
          <w:sz w:val="24"/>
          <w:szCs w:val="24"/>
          <w:lang w:val="es-ES" w:eastAsia="es-ES"/>
        </w:rPr>
        <w:t xml:space="preserve">AUTORIDAD REGULADORA DE LOS SERVICIOS PÚBLICOS (ARESEP)" </w:t>
      </w:r>
      <w:r>
        <w:rPr>
          <w:rFonts w:ascii="Tahoma" w:hAnsi="Tahoma" w:cs="Tahoma"/>
          <w:spacing w:val="12"/>
          <w:sz w:val="24"/>
          <w:szCs w:val="24"/>
          <w:lang w:val="es-ES" w:eastAsia="es-ES"/>
        </w:rPr>
        <w:t>(Léase folio 161 cara y vuelto del expediente administrativo)</w:t>
      </w:r>
    </w:p>
    <w:p w:rsidR="0065279C" w:rsidRDefault="00076F58">
      <w:pPr>
        <w:kinsoku w:val="0"/>
        <w:overflowPunct w:val="0"/>
        <w:autoSpaceDE/>
        <w:autoSpaceDN/>
        <w:adjustRightInd/>
        <w:spacing w:before="295" w:line="282" w:lineRule="exact"/>
        <w:jc w:val="both"/>
        <w:textAlignment w:val="baseline"/>
        <w:rPr>
          <w:rFonts w:ascii="Tahoma" w:hAnsi="Tahoma" w:cs="Tahoma"/>
          <w:spacing w:val="14"/>
          <w:sz w:val="24"/>
          <w:szCs w:val="24"/>
          <w:lang w:val="es-ES" w:eastAsia="es-ES"/>
        </w:rPr>
      </w:pPr>
      <w:r>
        <w:rPr>
          <w:rFonts w:ascii="Tahoma" w:hAnsi="Tahoma" w:cs="Tahoma"/>
          <w:b/>
          <w:bCs/>
          <w:spacing w:val="14"/>
          <w:sz w:val="24"/>
          <w:szCs w:val="24"/>
          <w:lang w:val="es-ES" w:eastAsia="es-ES"/>
        </w:rPr>
        <w:t xml:space="preserve">SETIMO: </w:t>
      </w:r>
      <w:r>
        <w:rPr>
          <w:rFonts w:ascii="Tahoma" w:hAnsi="Tahoma" w:cs="Tahoma"/>
          <w:spacing w:val="14"/>
          <w:sz w:val="24"/>
          <w:szCs w:val="24"/>
          <w:lang w:val="es-ES" w:eastAsia="es-ES"/>
        </w:rPr>
        <w:t>En los procedimientos seguidos se han observado las prescripciones legales.</w:t>
      </w:r>
    </w:p>
    <w:p w:rsidR="0065279C" w:rsidRDefault="00076F58">
      <w:pPr>
        <w:kinsoku w:val="0"/>
        <w:overflowPunct w:val="0"/>
        <w:autoSpaceDE/>
        <w:autoSpaceDN/>
        <w:adjustRightInd/>
        <w:spacing w:before="283" w:line="298" w:lineRule="exact"/>
        <w:textAlignment w:val="baseline"/>
        <w:rPr>
          <w:rFonts w:ascii="Tahoma" w:hAnsi="Tahoma" w:cs="Tahoma"/>
          <w:b/>
          <w:bCs/>
          <w:spacing w:val="14"/>
          <w:sz w:val="24"/>
          <w:szCs w:val="24"/>
          <w:lang w:val="es-ES" w:eastAsia="es-ES"/>
        </w:rPr>
      </w:pPr>
      <w:r>
        <w:rPr>
          <w:rFonts w:ascii="Tahoma" w:hAnsi="Tahoma" w:cs="Tahoma"/>
          <w:b/>
          <w:bCs/>
          <w:spacing w:val="14"/>
          <w:sz w:val="24"/>
          <w:szCs w:val="24"/>
          <w:lang w:val="es-ES" w:eastAsia="es-ES"/>
        </w:rPr>
        <w:t>Redacta la Jueza Pérez Peláez; y,</w:t>
      </w:r>
    </w:p>
    <w:p w:rsidR="0065279C" w:rsidRDefault="00076F58">
      <w:pPr>
        <w:kinsoku w:val="0"/>
        <w:overflowPunct w:val="0"/>
        <w:autoSpaceDE/>
        <w:autoSpaceDN/>
        <w:adjustRightInd/>
        <w:spacing w:before="293" w:line="286" w:lineRule="exact"/>
        <w:jc w:val="center"/>
        <w:textAlignment w:val="baseline"/>
        <w:rPr>
          <w:rFonts w:ascii="Tahoma" w:hAnsi="Tahoma" w:cs="Tahoma"/>
          <w:b/>
          <w:bCs/>
          <w:spacing w:val="16"/>
          <w:sz w:val="24"/>
          <w:szCs w:val="24"/>
          <w:lang w:val="es-ES" w:eastAsia="es-ES"/>
        </w:rPr>
      </w:pPr>
      <w:r>
        <w:rPr>
          <w:rFonts w:ascii="Tahoma" w:hAnsi="Tahoma" w:cs="Tahoma"/>
          <w:b/>
          <w:bCs/>
          <w:spacing w:val="16"/>
          <w:sz w:val="24"/>
          <w:szCs w:val="24"/>
          <w:lang w:val="es-ES" w:eastAsia="es-ES"/>
        </w:rPr>
        <w:t>CONSIDERANDO</w:t>
      </w:r>
    </w:p>
    <w:p w:rsidR="0065279C" w:rsidRDefault="00076F58">
      <w:pPr>
        <w:numPr>
          <w:ilvl w:val="0"/>
          <w:numId w:val="5"/>
        </w:numPr>
        <w:kinsoku w:val="0"/>
        <w:overflowPunct w:val="0"/>
        <w:autoSpaceDE/>
        <w:autoSpaceDN/>
        <w:adjustRightInd/>
        <w:spacing w:before="321" w:line="282" w:lineRule="exact"/>
        <w:jc w:val="both"/>
        <w:textAlignment w:val="baseline"/>
        <w:rPr>
          <w:rFonts w:ascii="Tahoma" w:hAnsi="Tahoma" w:cs="Tahoma"/>
          <w:spacing w:val="15"/>
          <w:sz w:val="24"/>
          <w:szCs w:val="24"/>
          <w:lang w:val="es-ES" w:eastAsia="es-ES"/>
        </w:rPr>
      </w:pPr>
      <w:r>
        <w:rPr>
          <w:rFonts w:ascii="Tahoma" w:hAnsi="Tahoma" w:cs="Tahoma"/>
          <w:b/>
          <w:bCs/>
          <w:spacing w:val="15"/>
          <w:sz w:val="24"/>
          <w:szCs w:val="24"/>
          <w:lang w:val="es-ES" w:eastAsia="es-ES"/>
        </w:rPr>
        <w:t xml:space="preserve">SOBRE LA COMPETENCIA: </w:t>
      </w:r>
      <w:r>
        <w:rPr>
          <w:rFonts w:ascii="Tahoma" w:hAnsi="Tahoma" w:cs="Tahoma"/>
          <w:spacing w:val="15"/>
          <w:sz w:val="24"/>
          <w:szCs w:val="24"/>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w:t>
      </w:r>
    </w:p>
    <w:p w:rsidR="0065279C" w:rsidRDefault="00076F58">
      <w:pPr>
        <w:numPr>
          <w:ilvl w:val="0"/>
          <w:numId w:val="6"/>
        </w:numPr>
        <w:kinsoku w:val="0"/>
        <w:overflowPunct w:val="0"/>
        <w:autoSpaceDE/>
        <w:autoSpaceDN/>
        <w:adjustRightInd/>
        <w:spacing w:before="606" w:line="296" w:lineRule="exact"/>
        <w:jc w:val="both"/>
        <w:textAlignment w:val="baseline"/>
        <w:rPr>
          <w:rFonts w:ascii="Tahoma" w:hAnsi="Tahoma" w:cs="Tahoma"/>
          <w:spacing w:val="16"/>
          <w:sz w:val="24"/>
          <w:szCs w:val="24"/>
          <w:lang w:val="es-ES" w:eastAsia="es-ES"/>
        </w:rPr>
      </w:pPr>
      <w:r>
        <w:rPr>
          <w:rFonts w:ascii="Tahoma" w:hAnsi="Tahoma" w:cs="Tahoma"/>
          <w:b/>
          <w:bCs/>
          <w:spacing w:val="16"/>
          <w:sz w:val="24"/>
          <w:szCs w:val="24"/>
          <w:lang w:val="es-ES" w:eastAsia="es-ES"/>
        </w:rPr>
        <w:t xml:space="preserve">SOBRE LA ADMISIBILIDAD DEL RECURSO: </w:t>
      </w:r>
      <w:r>
        <w:rPr>
          <w:rFonts w:ascii="Tahoma" w:hAnsi="Tahoma" w:cs="Tahoma"/>
          <w:b/>
          <w:bCs/>
          <w:spacing w:val="16"/>
          <w:sz w:val="24"/>
          <w:szCs w:val="24"/>
          <w:u w:val="single"/>
          <w:lang w:val="es-ES" w:eastAsia="es-ES"/>
        </w:rPr>
        <w:t>En cuanto a la</w:t>
      </w:r>
      <w:r w:rsidR="0022653D">
        <w:rPr>
          <w:rFonts w:ascii="Tahoma" w:hAnsi="Tahoma" w:cs="Tahoma"/>
          <w:b/>
          <w:bCs/>
          <w:spacing w:val="16"/>
          <w:sz w:val="24"/>
          <w:szCs w:val="24"/>
          <w:u w:val="single"/>
          <w:lang w:val="es-ES" w:eastAsia="es-ES"/>
        </w:rPr>
        <w:t xml:space="preserve"> </w:t>
      </w:r>
      <w:r>
        <w:rPr>
          <w:rFonts w:ascii="Tahoma" w:hAnsi="Tahoma" w:cs="Tahoma"/>
          <w:b/>
          <w:bCs/>
          <w:spacing w:val="16"/>
          <w:sz w:val="24"/>
          <w:szCs w:val="24"/>
          <w:u w:val="single"/>
          <w:lang w:val="es-ES" w:eastAsia="es-ES"/>
        </w:rPr>
        <w:t xml:space="preserve">  Legitimación:</w:t>
      </w:r>
      <w:r>
        <w:rPr>
          <w:rFonts w:ascii="Tahoma" w:hAnsi="Tahoma" w:cs="Tahoma"/>
          <w:spacing w:val="16"/>
          <w:sz w:val="24"/>
          <w:szCs w:val="24"/>
          <w:lang w:val="es-ES" w:eastAsia="es-ES"/>
        </w:rPr>
        <w:t xml:space="preserve"> La empresa </w:t>
      </w:r>
      <w:r>
        <w:rPr>
          <w:rFonts w:ascii="Tahoma" w:hAnsi="Tahoma" w:cs="Tahoma"/>
          <w:b/>
          <w:bCs/>
          <w:spacing w:val="16"/>
          <w:sz w:val="24"/>
          <w:szCs w:val="24"/>
          <w:lang w:val="es-ES" w:eastAsia="es-ES"/>
        </w:rPr>
        <w:t>R</w:t>
      </w:r>
      <w:r w:rsidR="0022653D">
        <w:rPr>
          <w:rFonts w:ascii="Tahoma" w:hAnsi="Tahoma" w:cs="Tahoma"/>
          <w:b/>
          <w:bCs/>
          <w:spacing w:val="16"/>
          <w:sz w:val="24"/>
          <w:szCs w:val="24"/>
          <w:lang w:val="es-ES" w:eastAsia="es-ES"/>
        </w:rPr>
        <w:t>.D.C.S.A.</w:t>
      </w:r>
      <w:r>
        <w:rPr>
          <w:rFonts w:ascii="Tahoma" w:hAnsi="Tahoma" w:cs="Tahoma"/>
          <w:b/>
          <w:bCs/>
          <w:spacing w:val="16"/>
          <w:sz w:val="24"/>
          <w:szCs w:val="24"/>
          <w:lang w:val="es-ES" w:eastAsia="es-ES"/>
        </w:rPr>
        <w:t xml:space="preserve"> cédula jurídica número </w:t>
      </w:r>
      <w:r w:rsidR="0022653D">
        <w:rPr>
          <w:rFonts w:ascii="Tahoma" w:hAnsi="Tahoma" w:cs="Tahoma"/>
          <w:b/>
          <w:bCs/>
          <w:spacing w:val="16"/>
          <w:sz w:val="24"/>
          <w:szCs w:val="24"/>
          <w:lang w:val="es-ES" w:eastAsia="es-ES"/>
        </w:rPr>
        <w:t>…</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quien actúa por medio de su apoderado Generalísimo sin límite de Suma señor </w:t>
      </w:r>
      <w:r>
        <w:rPr>
          <w:rFonts w:ascii="Tahoma" w:hAnsi="Tahoma" w:cs="Tahoma"/>
          <w:b/>
          <w:bCs/>
          <w:spacing w:val="16"/>
          <w:sz w:val="24"/>
          <w:szCs w:val="24"/>
          <w:lang w:val="es-ES" w:eastAsia="es-ES"/>
        </w:rPr>
        <w:t>J</w:t>
      </w:r>
      <w:r w:rsidR="0022653D">
        <w:rPr>
          <w:rFonts w:ascii="Tahoma" w:hAnsi="Tahoma" w:cs="Tahoma"/>
          <w:b/>
          <w:bCs/>
          <w:spacing w:val="16"/>
          <w:sz w:val="24"/>
          <w:szCs w:val="24"/>
          <w:lang w:val="es-ES" w:eastAsia="es-ES"/>
        </w:rPr>
        <w:t>.A.C.S.</w:t>
      </w:r>
      <w:r>
        <w:rPr>
          <w:rFonts w:ascii="Tahoma" w:hAnsi="Tahoma" w:cs="Tahoma"/>
          <w:b/>
          <w:bCs/>
          <w:spacing w:val="16"/>
          <w:sz w:val="24"/>
          <w:szCs w:val="24"/>
          <w:lang w:val="es-ES" w:eastAsia="es-ES"/>
        </w:rPr>
        <w:t xml:space="preserve">, cédula de identidad número </w:t>
      </w:r>
      <w:r w:rsidR="0022653D">
        <w:rPr>
          <w:rFonts w:ascii="Tahoma" w:hAnsi="Tahoma" w:cs="Tahoma"/>
          <w:b/>
          <w:bCs/>
          <w:spacing w:val="16"/>
          <w:sz w:val="24"/>
          <w:szCs w:val="24"/>
          <w:lang w:val="es-ES" w:eastAsia="es-ES"/>
        </w:rPr>
        <w:t>…</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cuenta con la Legitimación suficiente para actuar en el presente asunto, pues las disposiciones contenidas en este la afectan. </w:t>
      </w:r>
      <w:r>
        <w:rPr>
          <w:rFonts w:ascii="Tahoma" w:hAnsi="Tahoma" w:cs="Tahoma"/>
          <w:b/>
          <w:bCs/>
          <w:spacing w:val="16"/>
          <w:sz w:val="24"/>
          <w:szCs w:val="24"/>
          <w:u w:val="single"/>
          <w:lang w:val="es-ES" w:eastAsia="es-ES"/>
        </w:rPr>
        <w:t>En cuanto al plazo:</w:t>
      </w:r>
      <w:r>
        <w:rPr>
          <w:rFonts w:ascii="Tahoma" w:hAnsi="Tahoma" w:cs="Tahoma"/>
          <w:spacing w:val="16"/>
          <w:sz w:val="24"/>
          <w:szCs w:val="24"/>
          <w:lang w:val="es-ES" w:eastAsia="es-ES"/>
        </w:rPr>
        <w:t xml:space="preserve"> Conforme al estudio</w:t>
      </w:r>
    </w:p>
    <w:p w:rsidR="0065279C" w:rsidRDefault="0065279C">
      <w:pPr>
        <w:widowControl/>
        <w:rPr>
          <w:sz w:val="24"/>
          <w:szCs w:val="24"/>
        </w:rPr>
        <w:sectPr w:rsidR="0065279C">
          <w:pgSz w:w="12302" w:h="15725"/>
          <w:pgMar w:top="960" w:right="1503" w:bottom="222" w:left="1879" w:header="720" w:footer="720" w:gutter="0"/>
          <w:cols w:space="720"/>
          <w:noEndnote/>
        </w:sectPr>
      </w:pPr>
    </w:p>
    <w:p w:rsidR="0065279C" w:rsidRDefault="00076F58">
      <w:pPr>
        <w:kinsoku w:val="0"/>
        <w:overflowPunct w:val="0"/>
        <w:autoSpaceDE/>
        <w:autoSpaceDN/>
        <w:adjustRightInd/>
        <w:spacing w:line="288" w:lineRule="exact"/>
        <w:ind w:left="72" w:right="72"/>
        <w:jc w:val="both"/>
        <w:textAlignment w:val="baseline"/>
        <w:rPr>
          <w:rFonts w:ascii="Tahoma" w:hAnsi="Tahoma" w:cs="Tahoma"/>
          <w:spacing w:val="6"/>
          <w:sz w:val="25"/>
          <w:szCs w:val="25"/>
          <w:lang w:val="es-ES" w:eastAsia="es-ES"/>
        </w:rPr>
      </w:pPr>
      <w:r>
        <w:rPr>
          <w:rFonts w:ascii="Tahoma" w:hAnsi="Tahoma" w:cs="Tahoma"/>
          <w:spacing w:val="6"/>
          <w:sz w:val="25"/>
          <w:szCs w:val="25"/>
          <w:lang w:val="es-ES" w:eastAsia="es-ES"/>
        </w:rPr>
        <w:lastRenderedPageBreak/>
        <w:t>efectuado el Recurso de Apelación fue presentado dentro del plazo legal establecido para tal fin, en los términos del artículo 11 de la Ley 7969. Dado que según las actas de notificación que eleva el Consejo de Transporte Público las empresas fueron notificadas entre el 8 y 15 de junio de 2017 y el Recurso es presentado el 15 de junio de 2017 sea dentro del plazo requerido.</w:t>
      </w:r>
    </w:p>
    <w:p w:rsidR="0065279C" w:rsidRDefault="00076F58">
      <w:pPr>
        <w:kinsoku w:val="0"/>
        <w:overflowPunct w:val="0"/>
        <w:autoSpaceDE/>
        <w:autoSpaceDN/>
        <w:adjustRightInd/>
        <w:spacing w:before="312" w:line="290" w:lineRule="exact"/>
        <w:ind w:left="72" w:right="72"/>
        <w:jc w:val="both"/>
        <w:textAlignment w:val="baseline"/>
        <w:rPr>
          <w:rFonts w:ascii="Tahoma" w:hAnsi="Tahoma" w:cs="Tahoma"/>
          <w:spacing w:val="7"/>
          <w:sz w:val="25"/>
          <w:szCs w:val="25"/>
          <w:lang w:val="es-ES" w:eastAsia="es-ES"/>
        </w:rPr>
      </w:pPr>
      <w:r>
        <w:rPr>
          <w:rFonts w:ascii="Tahoma" w:hAnsi="Tahoma" w:cs="Tahoma"/>
          <w:b/>
          <w:bCs/>
          <w:spacing w:val="7"/>
          <w:sz w:val="25"/>
          <w:szCs w:val="25"/>
          <w:lang w:val="es-ES" w:eastAsia="es-ES"/>
        </w:rPr>
        <w:t xml:space="preserve">3.- SOBRE LOS HECHOS PROBADOS: </w:t>
      </w:r>
      <w:r>
        <w:rPr>
          <w:rFonts w:ascii="Tahoma" w:hAnsi="Tahoma" w:cs="Tahoma"/>
          <w:spacing w:val="7"/>
          <w:sz w:val="25"/>
          <w:szCs w:val="25"/>
          <w:lang w:val="es-ES" w:eastAsia="es-ES"/>
        </w:rPr>
        <w:t xml:space="preserve">De importancia para la decisión de este asunto, se estiman como debidamente demostrados los siguientes hechos por cuanto así han sido acreditados: </w:t>
      </w:r>
      <w:r>
        <w:rPr>
          <w:rFonts w:ascii="Tahoma" w:hAnsi="Tahoma" w:cs="Tahoma"/>
          <w:b/>
          <w:bCs/>
          <w:spacing w:val="7"/>
          <w:sz w:val="25"/>
          <w:szCs w:val="25"/>
          <w:lang w:val="es-ES" w:eastAsia="es-ES"/>
        </w:rPr>
        <w:t>A</w:t>
      </w:r>
      <w:proofErr w:type="gramStart"/>
      <w:r>
        <w:rPr>
          <w:rFonts w:ascii="Tahoma" w:hAnsi="Tahoma" w:cs="Tahoma"/>
          <w:b/>
          <w:bCs/>
          <w:spacing w:val="7"/>
          <w:sz w:val="25"/>
          <w:szCs w:val="25"/>
          <w:lang w:val="es-ES" w:eastAsia="es-ES"/>
        </w:rPr>
        <w:t>).-</w:t>
      </w:r>
      <w:proofErr w:type="gramEnd"/>
      <w:r>
        <w:rPr>
          <w:rFonts w:ascii="Tahoma" w:hAnsi="Tahoma" w:cs="Tahoma"/>
          <w:b/>
          <w:bCs/>
          <w:spacing w:val="7"/>
          <w:sz w:val="25"/>
          <w:szCs w:val="25"/>
          <w:lang w:val="es-ES" w:eastAsia="es-ES"/>
        </w:rPr>
        <w:t xml:space="preserve"> </w:t>
      </w:r>
      <w:r>
        <w:rPr>
          <w:rFonts w:ascii="Tahoma" w:hAnsi="Tahoma" w:cs="Tahoma"/>
          <w:spacing w:val="7"/>
          <w:sz w:val="25"/>
          <w:szCs w:val="25"/>
          <w:lang w:val="es-ES" w:eastAsia="es-ES"/>
        </w:rPr>
        <w:t xml:space="preserve">La Junta Directiva del Consejo de Transporte Público, mediante el </w:t>
      </w:r>
      <w:proofErr w:type="spellStart"/>
      <w:r>
        <w:rPr>
          <w:rFonts w:ascii="Tahoma" w:hAnsi="Tahoma" w:cs="Tahoma"/>
          <w:b/>
          <w:bCs/>
          <w:spacing w:val="7"/>
          <w:sz w:val="25"/>
          <w:szCs w:val="25"/>
          <w:lang w:val="es-ES" w:eastAsia="es-ES"/>
        </w:rPr>
        <w:t>el</w:t>
      </w:r>
      <w:proofErr w:type="spellEnd"/>
      <w:r>
        <w:rPr>
          <w:rFonts w:ascii="Tahoma" w:hAnsi="Tahoma" w:cs="Tahoma"/>
          <w:b/>
          <w:bCs/>
          <w:spacing w:val="7"/>
          <w:sz w:val="25"/>
          <w:szCs w:val="25"/>
          <w:lang w:val="es-ES" w:eastAsia="es-ES"/>
        </w:rPr>
        <w:t xml:space="preserve"> artículo 7.18 de la Sesión Ordinaria 23-2017 de 7 de junio de 2017, </w:t>
      </w:r>
      <w:r>
        <w:rPr>
          <w:rFonts w:ascii="Tahoma" w:hAnsi="Tahoma" w:cs="Tahoma"/>
          <w:spacing w:val="7"/>
          <w:sz w:val="25"/>
          <w:szCs w:val="25"/>
          <w:lang w:val="es-ES" w:eastAsia="es-ES"/>
        </w:rPr>
        <w:t>aprueba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 y las Consideraciones Generales para la Contratación de Organismos de Inspección para la evaluación del período 2017, en su totalidad. (Léanse folios 65 y 66 del expediente administrativo)</w:t>
      </w:r>
    </w:p>
    <w:p w:rsidR="0065279C" w:rsidRDefault="00076F58">
      <w:pPr>
        <w:numPr>
          <w:ilvl w:val="0"/>
          <w:numId w:val="7"/>
        </w:numPr>
        <w:kinsoku w:val="0"/>
        <w:overflowPunct w:val="0"/>
        <w:autoSpaceDE/>
        <w:autoSpaceDN/>
        <w:adjustRightInd/>
        <w:spacing w:before="289" w:line="290" w:lineRule="exact"/>
        <w:ind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 xml:space="preserve">La empresa recurrente presenta Recurso de Apelación contra el acuerdo impugnado indicando entre otros que el </w:t>
      </w:r>
      <w:r>
        <w:rPr>
          <w:rFonts w:ascii="Tahoma" w:hAnsi="Tahoma" w:cs="Tahoma"/>
          <w:b/>
          <w:bCs/>
          <w:spacing w:val="10"/>
          <w:sz w:val="25"/>
          <w:szCs w:val="25"/>
          <w:lang w:val="es-ES" w:eastAsia="es-ES"/>
        </w:rPr>
        <w:t xml:space="preserve">ECA, </w:t>
      </w:r>
      <w:r>
        <w:rPr>
          <w:rFonts w:ascii="Tahoma" w:hAnsi="Tahoma" w:cs="Tahoma"/>
          <w:spacing w:val="10"/>
          <w:sz w:val="25"/>
          <w:szCs w:val="25"/>
          <w:lang w:val="es-ES" w:eastAsia="es-ES"/>
        </w:rPr>
        <w:t>no cuenta con los organismos especializados en la materia de Transporte Público y ya lo ha indicado en reiterados momentos lo que vicia el acto impugnado de contenido. (Léanse folios del 1 al 4 del expediente administrativo).</w:t>
      </w:r>
    </w:p>
    <w:p w:rsidR="0065279C" w:rsidRDefault="00076F58">
      <w:pPr>
        <w:numPr>
          <w:ilvl w:val="0"/>
          <w:numId w:val="7"/>
        </w:numPr>
        <w:kinsoku w:val="0"/>
        <w:overflowPunct w:val="0"/>
        <w:autoSpaceDE/>
        <w:autoSpaceDN/>
        <w:adjustRightInd/>
        <w:spacing w:before="299" w:line="290" w:lineRule="exact"/>
        <w:ind w:righ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 xml:space="preserve">Se tiene demostrado que es obligación del Consejo de Transporte Público, realizar la avaluación de la calidad, a través de los órganos acreditados ante el </w:t>
      </w:r>
      <w:r>
        <w:rPr>
          <w:rFonts w:ascii="Tahoma" w:hAnsi="Tahoma" w:cs="Tahoma"/>
          <w:b/>
          <w:bCs/>
          <w:spacing w:val="9"/>
          <w:sz w:val="25"/>
          <w:szCs w:val="25"/>
          <w:lang w:val="es-ES" w:eastAsia="es-ES"/>
        </w:rPr>
        <w:t xml:space="preserve">ECA. </w:t>
      </w:r>
      <w:r>
        <w:rPr>
          <w:rFonts w:ascii="Tahoma" w:hAnsi="Tahoma" w:cs="Tahoma"/>
          <w:spacing w:val="9"/>
          <w:sz w:val="25"/>
          <w:szCs w:val="25"/>
          <w:lang w:val="es-ES" w:eastAsia="es-ES"/>
        </w:rPr>
        <w:t>(ver Ley 8279 del Sistema Nacional para la Calidad)</w:t>
      </w:r>
    </w:p>
    <w:p w:rsidR="0065279C" w:rsidRDefault="00076F58">
      <w:pPr>
        <w:numPr>
          <w:ilvl w:val="0"/>
          <w:numId w:val="7"/>
        </w:numPr>
        <w:kinsoku w:val="0"/>
        <w:overflowPunct w:val="0"/>
        <w:autoSpaceDE/>
        <w:autoSpaceDN/>
        <w:adjustRightInd/>
        <w:spacing w:before="279" w:line="290" w:lineRule="exact"/>
        <w:ind w:right="72"/>
        <w:jc w:val="both"/>
        <w:textAlignment w:val="baseline"/>
        <w:rPr>
          <w:rFonts w:ascii="Tahoma" w:hAnsi="Tahoma" w:cs="Tahoma"/>
          <w:sz w:val="25"/>
          <w:szCs w:val="25"/>
          <w:lang w:val="es-ES" w:eastAsia="es-ES"/>
        </w:rPr>
      </w:pPr>
      <w:r>
        <w:rPr>
          <w:rFonts w:ascii="Tahoma" w:hAnsi="Tahoma" w:cs="Tahoma"/>
          <w:sz w:val="25"/>
          <w:szCs w:val="25"/>
          <w:lang w:val="es-ES" w:eastAsia="es-ES"/>
        </w:rPr>
        <w:t>Se tiene por demostrado que el Consejo de Transporte Público dejó abierta la posibilidad de que en caso que no exista capacidad instalada por parte de los Organismos de Inspección acreditados ante la ECA, o que existiendo no sea suficiente para cubrir la cantidad de estudios se autoriza la realización del estudio de calidad, por parte de órganos no acreditados. (ver acuerdo impugnado)</w:t>
      </w:r>
    </w:p>
    <w:p w:rsidR="0065279C" w:rsidRDefault="00076F58" w:rsidP="0022653D">
      <w:pPr>
        <w:numPr>
          <w:ilvl w:val="0"/>
          <w:numId w:val="7"/>
        </w:numPr>
        <w:kinsoku w:val="0"/>
        <w:overflowPunct w:val="0"/>
        <w:autoSpaceDE/>
        <w:autoSpaceDN/>
        <w:adjustRightInd/>
        <w:spacing w:before="286" w:line="298" w:lineRule="exact"/>
        <w:ind w:right="72"/>
        <w:jc w:val="both"/>
        <w:textAlignment w:val="baseline"/>
        <w:rPr>
          <w:rFonts w:ascii="Verdana" w:hAnsi="Verdana" w:cs="Verdana"/>
          <w:i/>
          <w:iCs/>
          <w:sz w:val="24"/>
          <w:szCs w:val="24"/>
          <w:lang w:val="es-ES" w:eastAsia="es-ES"/>
        </w:rPr>
      </w:pPr>
      <w:r>
        <w:rPr>
          <w:rFonts w:ascii="Tahoma" w:hAnsi="Tahoma" w:cs="Tahoma"/>
          <w:sz w:val="25"/>
          <w:szCs w:val="25"/>
          <w:lang w:val="es-ES" w:eastAsia="es-ES"/>
        </w:rPr>
        <w:t xml:space="preserve">Se tiene por demostrado que el reconocimiento de los costes en que incurren las empresas en estudios como el de trato en este caso, deben ser reconocidos en las tarifas por la </w:t>
      </w:r>
      <w:r>
        <w:rPr>
          <w:rFonts w:ascii="Verdana" w:hAnsi="Verdana" w:cs="Verdana"/>
          <w:b/>
          <w:bCs/>
          <w:i/>
          <w:iCs/>
          <w:sz w:val="24"/>
          <w:szCs w:val="24"/>
          <w:lang w:val="es-ES" w:eastAsia="es-ES"/>
        </w:rPr>
        <w:t xml:space="preserve">AUTORIDAD REGULADORA DE LOS SERVICIOS PÚBLICOS (ARESEP) </w:t>
      </w:r>
      <w:r>
        <w:rPr>
          <w:rFonts w:ascii="Tahoma" w:hAnsi="Tahoma" w:cs="Tahoma"/>
          <w:sz w:val="25"/>
          <w:szCs w:val="25"/>
          <w:lang w:val="es-ES" w:eastAsia="es-ES"/>
        </w:rPr>
        <w:t xml:space="preserve">único órgano con competencia para ello. </w:t>
      </w:r>
      <w:proofErr w:type="gramStart"/>
      <w:r>
        <w:rPr>
          <w:rFonts w:ascii="Tahoma" w:hAnsi="Tahoma" w:cs="Tahoma"/>
          <w:sz w:val="25"/>
          <w:szCs w:val="25"/>
          <w:lang w:val="es-ES" w:eastAsia="es-ES"/>
        </w:rPr>
        <w:t>( ver</w:t>
      </w:r>
      <w:proofErr w:type="gramEnd"/>
      <w:r>
        <w:rPr>
          <w:rFonts w:ascii="Tahoma" w:hAnsi="Tahoma" w:cs="Tahoma"/>
          <w:sz w:val="25"/>
          <w:szCs w:val="25"/>
          <w:lang w:val="es-ES" w:eastAsia="es-ES"/>
        </w:rPr>
        <w:t xml:space="preserve"> </w:t>
      </w:r>
      <w:r>
        <w:rPr>
          <w:rFonts w:ascii="Verdana" w:hAnsi="Verdana" w:cs="Verdana"/>
          <w:i/>
          <w:iCs/>
          <w:sz w:val="24"/>
          <w:szCs w:val="24"/>
          <w:lang w:val="es-ES" w:eastAsia="es-ES"/>
        </w:rPr>
        <w:t>Ley No. 7593)</w:t>
      </w:r>
    </w:p>
    <w:p w:rsidR="0065279C" w:rsidRDefault="00076F58">
      <w:pPr>
        <w:kinsoku w:val="0"/>
        <w:overflowPunct w:val="0"/>
        <w:autoSpaceDE/>
        <w:autoSpaceDN/>
        <w:adjustRightInd/>
        <w:spacing w:before="273" w:after="551" w:line="303" w:lineRule="exact"/>
        <w:ind w:left="72" w:right="72"/>
        <w:jc w:val="both"/>
        <w:textAlignment w:val="baseline"/>
        <w:rPr>
          <w:rFonts w:ascii="Tahoma" w:hAnsi="Tahoma" w:cs="Tahoma"/>
          <w:sz w:val="25"/>
          <w:szCs w:val="25"/>
          <w:lang w:val="es-ES" w:eastAsia="es-ES"/>
        </w:rPr>
      </w:pPr>
      <w:r>
        <w:rPr>
          <w:rFonts w:ascii="Tahoma" w:hAnsi="Tahoma" w:cs="Tahoma"/>
          <w:b/>
          <w:bCs/>
          <w:sz w:val="25"/>
          <w:szCs w:val="25"/>
          <w:lang w:val="es-ES" w:eastAsia="es-ES"/>
        </w:rPr>
        <w:t xml:space="preserve">4.- HECHOS NO PROBADOS: </w:t>
      </w:r>
      <w:r>
        <w:rPr>
          <w:rFonts w:ascii="Tahoma" w:hAnsi="Tahoma" w:cs="Tahoma"/>
          <w:sz w:val="25"/>
          <w:szCs w:val="25"/>
          <w:lang w:val="es-ES" w:eastAsia="es-ES"/>
        </w:rPr>
        <w:t>Ninguno de importancia para la resolución del presente asunto.</w:t>
      </w:r>
    </w:p>
    <w:p w:rsidR="0065279C" w:rsidRDefault="0065279C">
      <w:pPr>
        <w:widowControl/>
        <w:rPr>
          <w:sz w:val="24"/>
          <w:szCs w:val="24"/>
        </w:rPr>
        <w:sectPr w:rsidR="0065279C">
          <w:pgSz w:w="12302" w:h="15725"/>
          <w:pgMar w:top="800" w:right="1764" w:bottom="329" w:left="1603" w:header="720" w:footer="720" w:gutter="0"/>
          <w:cols w:space="720"/>
          <w:noEndnote/>
        </w:sectPr>
      </w:pPr>
    </w:p>
    <w:p w:rsidR="0065279C" w:rsidRDefault="00076F58">
      <w:pPr>
        <w:kinsoku w:val="0"/>
        <w:overflowPunct w:val="0"/>
        <w:autoSpaceDE/>
        <w:autoSpaceDN/>
        <w:adjustRightInd/>
        <w:spacing w:line="433" w:lineRule="exact"/>
        <w:textAlignment w:val="baseline"/>
        <w:rPr>
          <w:rFonts w:ascii="Tahoma" w:hAnsi="Tahoma" w:cs="Tahoma"/>
          <w:b/>
          <w:bCs/>
          <w:sz w:val="25"/>
          <w:szCs w:val="25"/>
          <w:lang w:val="es-ES" w:eastAsia="es-ES"/>
        </w:rPr>
      </w:pPr>
      <w:r>
        <w:rPr>
          <w:rFonts w:ascii="Tahoma" w:hAnsi="Tahoma" w:cs="Tahoma"/>
          <w:b/>
          <w:bCs/>
          <w:sz w:val="25"/>
          <w:szCs w:val="25"/>
          <w:lang w:val="es-ES" w:eastAsia="es-ES"/>
        </w:rPr>
        <w:lastRenderedPageBreak/>
        <w:t>5.- SOBRE EL FONDO</w:t>
      </w:r>
      <w:r>
        <w:rPr>
          <w:rFonts w:ascii="Tahoma" w:hAnsi="Tahoma" w:cs="Tahoma"/>
          <w:b/>
          <w:bCs/>
          <w:sz w:val="25"/>
          <w:szCs w:val="25"/>
          <w:lang w:val="es-ES" w:eastAsia="es-ES"/>
        </w:rPr>
        <w:br/>
        <w:t>OBJETO DEL RECURSO</w:t>
      </w:r>
    </w:p>
    <w:p w:rsidR="0065279C" w:rsidRDefault="00076F58">
      <w:pPr>
        <w:kinsoku w:val="0"/>
        <w:overflowPunct w:val="0"/>
        <w:autoSpaceDE/>
        <w:autoSpaceDN/>
        <w:adjustRightInd/>
        <w:spacing w:before="300" w:line="290" w:lineRule="exact"/>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 xml:space="preserve">El presente Recurso de Apelación, tiene como objeto la revocación del </w:t>
      </w:r>
      <w:r>
        <w:rPr>
          <w:rFonts w:ascii="Tahoma" w:hAnsi="Tahoma" w:cs="Tahoma"/>
          <w:b/>
          <w:bCs/>
          <w:spacing w:val="9"/>
          <w:sz w:val="25"/>
          <w:szCs w:val="25"/>
          <w:lang w:val="es-ES" w:eastAsia="es-ES"/>
        </w:rPr>
        <w:t xml:space="preserve">Acuerdo 7.18 de la Sesión Ordinaria 23-2017 de 7 de junio de 2017, celebrado por la Junta Directiva del Consejo de Transporte Público, </w:t>
      </w:r>
      <w:r>
        <w:rPr>
          <w:rFonts w:ascii="Tahoma" w:hAnsi="Tahoma" w:cs="Tahoma"/>
          <w:spacing w:val="9"/>
          <w:sz w:val="25"/>
          <w:szCs w:val="25"/>
          <w:lang w:val="es-ES" w:eastAsia="es-ES"/>
        </w:rPr>
        <w:t>de modo que no se exija al recurrente la utilización de órganos acreditados por el ECA, para la realización de los estudios sobre evaluación de la calidad.</w:t>
      </w:r>
    </w:p>
    <w:p w:rsidR="0065279C" w:rsidRDefault="00076F58">
      <w:pPr>
        <w:kinsoku w:val="0"/>
        <w:overflowPunct w:val="0"/>
        <w:autoSpaceDE/>
        <w:autoSpaceDN/>
        <w:adjustRightInd/>
        <w:spacing w:before="582" w:line="260" w:lineRule="exact"/>
        <w:textAlignment w:val="baseline"/>
        <w:rPr>
          <w:rFonts w:ascii="Tahoma" w:hAnsi="Tahoma" w:cs="Tahoma"/>
          <w:b/>
          <w:bCs/>
          <w:spacing w:val="14"/>
          <w:sz w:val="22"/>
          <w:szCs w:val="22"/>
          <w:lang w:val="es-ES" w:eastAsia="es-ES"/>
        </w:rPr>
      </w:pPr>
      <w:r>
        <w:rPr>
          <w:rFonts w:ascii="Tahoma" w:hAnsi="Tahoma" w:cs="Tahoma"/>
          <w:b/>
          <w:bCs/>
          <w:spacing w:val="14"/>
          <w:sz w:val="22"/>
          <w:szCs w:val="22"/>
          <w:lang w:val="es-ES" w:eastAsia="es-ES"/>
        </w:rPr>
        <w:t>DE LOS ALEGATOS DE LA RECURRENTE</w:t>
      </w:r>
    </w:p>
    <w:p w:rsidR="0065279C" w:rsidRDefault="00076F58">
      <w:pPr>
        <w:kinsoku w:val="0"/>
        <w:overflowPunct w:val="0"/>
        <w:autoSpaceDE/>
        <w:autoSpaceDN/>
        <w:adjustRightInd/>
        <w:spacing w:before="301" w:line="291" w:lineRule="exact"/>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xml:space="preserve">La empresa recurrente se presenta el día 15 de junio de 2017 ante el Tribunal Administrativo de Transporte, e interpone Recurso de Apelación, manifestando que mediante el artículo </w:t>
      </w:r>
      <w:r>
        <w:rPr>
          <w:rFonts w:ascii="Tahoma" w:hAnsi="Tahoma" w:cs="Tahoma"/>
          <w:b/>
          <w:bCs/>
          <w:spacing w:val="8"/>
          <w:sz w:val="25"/>
          <w:szCs w:val="25"/>
          <w:lang w:val="es-ES" w:eastAsia="es-ES"/>
        </w:rPr>
        <w:t>7.18 de la Sesión Ordinaria 23</w:t>
      </w:r>
      <w:r>
        <w:rPr>
          <w:rFonts w:ascii="Tahoma" w:hAnsi="Tahoma" w:cs="Tahoma"/>
          <w:b/>
          <w:bCs/>
          <w:spacing w:val="8"/>
          <w:sz w:val="25"/>
          <w:szCs w:val="25"/>
          <w:lang w:val="es-ES" w:eastAsia="es-ES"/>
        </w:rPr>
        <w:softHyphen/>
        <w:t xml:space="preserve">2017 de 7 de junio de 2017, </w:t>
      </w:r>
      <w:r>
        <w:rPr>
          <w:rFonts w:ascii="Tahoma" w:hAnsi="Tahoma" w:cs="Tahoma"/>
          <w:spacing w:val="8"/>
          <w:sz w:val="25"/>
          <w:szCs w:val="25"/>
          <w:lang w:val="es-ES" w:eastAsia="es-ES"/>
        </w:rPr>
        <w:t xml:space="preserve">se establecen los plazos y condiciones en que ha de presentarse la Calidad del Servicio 2017, y entre otros se dispone que debe contratarse con organismos acreditados ante el </w:t>
      </w:r>
      <w:r>
        <w:rPr>
          <w:rFonts w:ascii="Tahoma" w:hAnsi="Tahoma" w:cs="Tahoma"/>
          <w:b/>
          <w:bCs/>
          <w:spacing w:val="8"/>
          <w:sz w:val="25"/>
          <w:szCs w:val="25"/>
          <w:lang w:val="es-ES" w:eastAsia="es-ES"/>
        </w:rPr>
        <w:t xml:space="preserve">ECA (Ente Costarricense de Acreditación). </w:t>
      </w:r>
      <w:r>
        <w:rPr>
          <w:rFonts w:ascii="Tahoma" w:hAnsi="Tahoma" w:cs="Tahoma"/>
          <w:spacing w:val="8"/>
          <w:sz w:val="25"/>
          <w:szCs w:val="25"/>
          <w:lang w:val="es-ES" w:eastAsia="es-ES"/>
        </w:rPr>
        <w:t xml:space="preserve">Indica que no se ha tomado en cuenta la posición reiterada por el ECA en el sentido que actualmente no cuenta con organismos acreditados en la materia de Transporte Público como se pude verificar del oficio </w:t>
      </w:r>
      <w:r>
        <w:rPr>
          <w:rFonts w:ascii="Tahoma" w:hAnsi="Tahoma" w:cs="Tahoma"/>
          <w:b/>
          <w:bCs/>
          <w:spacing w:val="8"/>
          <w:sz w:val="25"/>
          <w:szCs w:val="25"/>
          <w:lang w:val="es-ES" w:eastAsia="es-ES"/>
        </w:rPr>
        <w:t xml:space="preserve">ECA-G-2017-075 del 24 de abril de 2017 </w:t>
      </w:r>
      <w:r>
        <w:rPr>
          <w:rFonts w:ascii="Tahoma" w:hAnsi="Tahoma" w:cs="Tahoma"/>
          <w:spacing w:val="8"/>
          <w:sz w:val="25"/>
          <w:szCs w:val="25"/>
          <w:lang w:val="es-ES" w:eastAsia="es-ES"/>
        </w:rPr>
        <w:t>dirigido a la Licda. L</w:t>
      </w:r>
      <w:r w:rsidR="0022653D">
        <w:rPr>
          <w:rFonts w:ascii="Tahoma" w:hAnsi="Tahoma" w:cs="Tahoma"/>
          <w:spacing w:val="8"/>
          <w:sz w:val="25"/>
          <w:szCs w:val="25"/>
          <w:lang w:val="es-ES" w:eastAsia="es-ES"/>
        </w:rPr>
        <w:t>.M.R.R.</w:t>
      </w:r>
      <w:r>
        <w:rPr>
          <w:rFonts w:ascii="Tahoma" w:hAnsi="Tahoma" w:cs="Tahoma"/>
          <w:spacing w:val="8"/>
          <w:sz w:val="25"/>
          <w:szCs w:val="25"/>
          <w:lang w:val="es-ES" w:eastAsia="es-ES"/>
        </w:rPr>
        <w:t xml:space="preserve">, así mismo, en oficio </w:t>
      </w:r>
      <w:r>
        <w:rPr>
          <w:rFonts w:ascii="Tahoma" w:hAnsi="Tahoma" w:cs="Tahoma"/>
          <w:b/>
          <w:bCs/>
          <w:spacing w:val="8"/>
          <w:sz w:val="25"/>
          <w:szCs w:val="25"/>
          <w:lang w:val="es-ES" w:eastAsia="es-ES"/>
        </w:rPr>
        <w:t xml:space="preserve">ECA-G2017-100 de 9 de mayo de 2017. </w:t>
      </w:r>
      <w:r>
        <w:rPr>
          <w:rFonts w:ascii="Tahoma" w:hAnsi="Tahoma" w:cs="Tahoma"/>
          <w:spacing w:val="8"/>
          <w:sz w:val="25"/>
          <w:szCs w:val="25"/>
          <w:lang w:val="es-ES" w:eastAsia="es-ES"/>
        </w:rPr>
        <w:t xml:space="preserve">El acuerdo recurrido tampoco toma en consideración el oficio número </w:t>
      </w:r>
      <w:r>
        <w:rPr>
          <w:rFonts w:ascii="Tahoma" w:hAnsi="Tahoma" w:cs="Tahoma"/>
          <w:b/>
          <w:bCs/>
          <w:spacing w:val="8"/>
          <w:sz w:val="25"/>
          <w:szCs w:val="25"/>
          <w:lang w:val="es-ES" w:eastAsia="es-ES"/>
        </w:rPr>
        <w:t xml:space="preserve">JDG-1353-15/16 de 12 de octubre de 2016 </w:t>
      </w:r>
      <w:r>
        <w:rPr>
          <w:rFonts w:ascii="Tahoma" w:hAnsi="Tahoma" w:cs="Tahoma"/>
          <w:spacing w:val="8"/>
          <w:sz w:val="25"/>
          <w:szCs w:val="25"/>
          <w:lang w:val="es-ES" w:eastAsia="es-ES"/>
        </w:rPr>
        <w:t>del Colegio de Ingenieros y Arquitectos de Costa Rica y suscrito por el Ing. Olman Vargas, donde éste solicita al ECA se excluya a sus agremiados de cualquier disposición de poder ejercer la actividad de fiscalización en materia de la calidad en transporte público. Otro aspecto que argumenta el recurrente es que el acuerdo recurrido es omiso en indicar cosa alguna en relación con los costos de estos estudios y sin esta indicación la Autoridad Reguladora de los Servicios Públicos no puede incorporar en las tarifas el costo de éstos. Finalmente indica que el acuerdo va en contra de la economía procesal pues el CTP a sabiendas que el ECA reiteradamente ha manifestado no contar con profesionales acreditados para llevar a cabo dichos estudios debió generar un transitorio hasta que se cumpla en el ECA tal situación y no poner a las empresas a generar diligencias de excepción en una situación ya conocida, por lo que el acuerdo no tiene un contenido válido, y solicita se revoque el acuerdo.</w:t>
      </w:r>
    </w:p>
    <w:p w:rsidR="0065279C" w:rsidRDefault="00076F58">
      <w:pPr>
        <w:kinsoku w:val="0"/>
        <w:overflowPunct w:val="0"/>
        <w:autoSpaceDE/>
        <w:autoSpaceDN/>
        <w:adjustRightInd/>
        <w:spacing w:before="316" w:line="291" w:lineRule="exact"/>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En respuesta a prevención que le realizara el Tribunal Administrativo de Transporte a la empresa recurrente para que se refiriera al apersonamiento realizado por el Consejo de Transporte Público, ésta se apersona el día 16 de agosto de 2017 y manifiesta en lo que interesa que las disposiciones contenidas en el acuerdo impugnado no tomaron en</w:t>
      </w:r>
    </w:p>
    <w:p w:rsidR="0065279C" w:rsidRDefault="0065279C">
      <w:pPr>
        <w:widowControl/>
        <w:rPr>
          <w:sz w:val="24"/>
          <w:szCs w:val="24"/>
        </w:rPr>
        <w:sectPr w:rsidR="0065279C">
          <w:pgSz w:w="12302" w:h="15706"/>
          <w:pgMar w:top="1240" w:right="1501" w:bottom="223" w:left="1866" w:header="720" w:footer="720" w:gutter="0"/>
          <w:cols w:space="720"/>
          <w:noEndnote/>
        </w:sectPr>
      </w:pPr>
    </w:p>
    <w:p w:rsidR="0065279C" w:rsidRDefault="00076F58">
      <w:pPr>
        <w:kinsoku w:val="0"/>
        <w:overflowPunct w:val="0"/>
        <w:autoSpaceDE/>
        <w:autoSpaceDN/>
        <w:adjustRightInd/>
        <w:spacing w:line="289" w:lineRule="exact"/>
        <w:ind w:left="72"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lastRenderedPageBreak/>
        <w:t>consideración la posición externada por el ECA, en cuanto a que actualmente no existen Organismos de Inspección que tengan como especialidad el transporte remunerado de personas. NO toma el acuerdo recurrido el criterio externado por el Colegio Federado de Ingenieros y Arquitectos sobre el tema de trato. Y refiere la recurrente que no existe en la actualidad una regulación de los precios que cobran los entes acreditados ante el ECA y así debe reconocerse en la Tarifa y no habiendo este reconocimiento tarifario o al menos mención de los montos a reconocer la Autoridad Reguladora no los reconocerá.</w:t>
      </w:r>
    </w:p>
    <w:p w:rsidR="0065279C" w:rsidRDefault="00076F58">
      <w:pPr>
        <w:kinsoku w:val="0"/>
        <w:overflowPunct w:val="0"/>
        <w:autoSpaceDE/>
        <w:autoSpaceDN/>
        <w:adjustRightInd/>
        <w:spacing w:before="269" w:line="262" w:lineRule="exact"/>
        <w:ind w:left="72"/>
        <w:textAlignment w:val="baseline"/>
        <w:rPr>
          <w:rFonts w:ascii="Tahoma" w:hAnsi="Tahoma" w:cs="Tahoma"/>
          <w:b/>
          <w:bCs/>
          <w:spacing w:val="13"/>
          <w:sz w:val="22"/>
          <w:szCs w:val="22"/>
          <w:lang w:val="es-ES" w:eastAsia="es-ES"/>
        </w:rPr>
      </w:pPr>
      <w:r>
        <w:rPr>
          <w:rFonts w:ascii="Tahoma" w:hAnsi="Tahoma" w:cs="Tahoma"/>
          <w:b/>
          <w:bCs/>
          <w:spacing w:val="13"/>
          <w:sz w:val="22"/>
          <w:szCs w:val="22"/>
          <w:lang w:val="es-ES" w:eastAsia="es-ES"/>
        </w:rPr>
        <w:t>DE LO ACTUADO POR EL CONSEJO DE TRANSPORTE PÚBLICO</w:t>
      </w:r>
    </w:p>
    <w:p w:rsidR="0065279C" w:rsidRDefault="00076F58">
      <w:pPr>
        <w:kinsoku w:val="0"/>
        <w:overflowPunct w:val="0"/>
        <w:autoSpaceDE/>
        <w:autoSpaceDN/>
        <w:adjustRightInd/>
        <w:spacing w:before="298" w:line="289" w:lineRule="exact"/>
        <w:ind w:left="72"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xml:space="preserve">La Junta Directiva del Consejo de Transporte Público, mediante el </w:t>
      </w:r>
      <w:r>
        <w:rPr>
          <w:rFonts w:ascii="Tahoma" w:hAnsi="Tahoma" w:cs="Tahoma"/>
          <w:b/>
          <w:bCs/>
          <w:spacing w:val="8"/>
          <w:sz w:val="25"/>
          <w:szCs w:val="25"/>
          <w:lang w:val="es-ES" w:eastAsia="es-ES"/>
        </w:rPr>
        <w:t xml:space="preserve">artículo 8.1 de la Sesión Ordinaria 42-2016 de 01 de setiembre de 2016, </w:t>
      </w:r>
      <w:r>
        <w:rPr>
          <w:rFonts w:ascii="Tahoma" w:hAnsi="Tahoma" w:cs="Tahoma"/>
          <w:spacing w:val="8"/>
          <w:sz w:val="25"/>
          <w:szCs w:val="25"/>
          <w:lang w:val="es-ES" w:eastAsia="es-ES"/>
        </w:rPr>
        <w:t>aprueba las consideraciones generales para la contratación de organismos de inspección para la evaluación del período 2016, así como el correspondiente Manual para la Evaluación de la Calidad para dicho período.</w:t>
      </w:r>
    </w:p>
    <w:p w:rsidR="0065279C" w:rsidRDefault="00076F58">
      <w:pPr>
        <w:kinsoku w:val="0"/>
        <w:overflowPunct w:val="0"/>
        <w:autoSpaceDE/>
        <w:autoSpaceDN/>
        <w:adjustRightInd/>
        <w:spacing w:before="314" w:line="289" w:lineRule="exact"/>
        <w:ind w:left="72" w:right="72"/>
        <w:jc w:val="both"/>
        <w:textAlignment w:val="baseline"/>
        <w:rPr>
          <w:rFonts w:ascii="Tahoma" w:hAnsi="Tahoma" w:cs="Tahoma"/>
          <w:spacing w:val="7"/>
          <w:sz w:val="25"/>
          <w:szCs w:val="25"/>
          <w:lang w:val="es-ES" w:eastAsia="es-ES"/>
        </w:rPr>
      </w:pPr>
      <w:r>
        <w:rPr>
          <w:rFonts w:ascii="Tahoma" w:hAnsi="Tahoma" w:cs="Tahoma"/>
          <w:spacing w:val="7"/>
          <w:sz w:val="25"/>
          <w:szCs w:val="25"/>
          <w:lang w:val="es-ES" w:eastAsia="es-ES"/>
        </w:rPr>
        <w:t xml:space="preserve">La Junta Directiva del Consejo de Transporte Público, mediante el </w:t>
      </w:r>
      <w:proofErr w:type="spellStart"/>
      <w:r>
        <w:rPr>
          <w:rFonts w:ascii="Tahoma" w:hAnsi="Tahoma" w:cs="Tahoma"/>
          <w:b/>
          <w:bCs/>
          <w:spacing w:val="7"/>
          <w:sz w:val="25"/>
          <w:szCs w:val="25"/>
          <w:lang w:val="es-ES" w:eastAsia="es-ES"/>
        </w:rPr>
        <w:t>el</w:t>
      </w:r>
      <w:proofErr w:type="spellEnd"/>
      <w:r>
        <w:rPr>
          <w:rFonts w:ascii="Tahoma" w:hAnsi="Tahoma" w:cs="Tahoma"/>
          <w:b/>
          <w:bCs/>
          <w:spacing w:val="7"/>
          <w:sz w:val="25"/>
          <w:szCs w:val="25"/>
          <w:lang w:val="es-ES" w:eastAsia="es-ES"/>
        </w:rPr>
        <w:t xml:space="preserve"> artículo 7.18 de la Sesión Ordinaria 23-2017 de 7 de junio de 2017, </w:t>
      </w:r>
      <w:r>
        <w:rPr>
          <w:rFonts w:ascii="Tahoma" w:hAnsi="Tahoma" w:cs="Tahoma"/>
          <w:spacing w:val="7"/>
          <w:sz w:val="25"/>
          <w:szCs w:val="25"/>
          <w:lang w:val="es-ES" w:eastAsia="es-ES"/>
        </w:rPr>
        <w:t>aprueba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 y las Consideraciones Generales para la Contratación de Organismos de Inspección para la evaluación del período 2017, en su totalidad.</w:t>
      </w:r>
    </w:p>
    <w:p w:rsidR="0065279C" w:rsidRDefault="00076F58">
      <w:pPr>
        <w:kinsoku w:val="0"/>
        <w:overflowPunct w:val="0"/>
        <w:autoSpaceDE/>
        <w:autoSpaceDN/>
        <w:adjustRightInd/>
        <w:spacing w:before="275" w:line="284" w:lineRule="exact"/>
        <w:ind w:left="72"/>
        <w:textAlignment w:val="baseline"/>
        <w:rPr>
          <w:rFonts w:ascii="Tahoma" w:hAnsi="Tahoma" w:cs="Tahoma"/>
          <w:b/>
          <w:bCs/>
          <w:spacing w:val="8"/>
          <w:sz w:val="25"/>
          <w:szCs w:val="25"/>
          <w:lang w:val="es-ES" w:eastAsia="es-ES"/>
        </w:rPr>
      </w:pPr>
      <w:r>
        <w:rPr>
          <w:rFonts w:ascii="Tahoma" w:hAnsi="Tahoma" w:cs="Tahoma"/>
          <w:b/>
          <w:bCs/>
          <w:spacing w:val="8"/>
          <w:sz w:val="25"/>
          <w:szCs w:val="25"/>
          <w:lang w:val="es-ES" w:eastAsia="es-ES"/>
        </w:rPr>
        <w:t>DEL PRINCIPIO DE LEGALIDAD</w:t>
      </w:r>
    </w:p>
    <w:p w:rsidR="0065279C" w:rsidRDefault="00076F58">
      <w:pPr>
        <w:kinsoku w:val="0"/>
        <w:overflowPunct w:val="0"/>
        <w:autoSpaceDE/>
        <w:autoSpaceDN/>
        <w:adjustRightInd/>
        <w:spacing w:before="285" w:line="290" w:lineRule="exact"/>
        <w:ind w:left="72" w:righ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65279C" w:rsidRDefault="00076F58" w:rsidP="0022653D">
      <w:pPr>
        <w:kinsoku w:val="0"/>
        <w:overflowPunct w:val="0"/>
        <w:autoSpaceDE/>
        <w:autoSpaceDN/>
        <w:adjustRightInd/>
        <w:spacing w:before="281" w:line="299" w:lineRule="exact"/>
        <w:ind w:lef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La Sala Constitucional de la Corte Suprema de Justicia, en su sentencia No. 2001-02493, de las dieciséis horas, con veinticinco minutos, del</w:t>
      </w:r>
      <w:r w:rsidR="0022653D">
        <w:rPr>
          <w:rFonts w:ascii="Tahoma" w:hAnsi="Tahoma" w:cs="Tahoma"/>
          <w:spacing w:val="9"/>
          <w:sz w:val="25"/>
          <w:szCs w:val="25"/>
          <w:lang w:val="es-ES" w:eastAsia="es-ES"/>
        </w:rPr>
        <w:t xml:space="preserve"> </w:t>
      </w:r>
      <w:r>
        <w:rPr>
          <w:rFonts w:ascii="Tahoma" w:hAnsi="Tahoma" w:cs="Tahoma"/>
          <w:spacing w:val="9"/>
          <w:sz w:val="25"/>
          <w:szCs w:val="25"/>
          <w:lang w:val="es-ES" w:eastAsia="es-ES"/>
        </w:rPr>
        <w:t xml:space="preserve">veintisiete de marzo del dos </w:t>
      </w:r>
      <w:proofErr w:type="gramStart"/>
      <w:r>
        <w:rPr>
          <w:rFonts w:ascii="Tahoma" w:hAnsi="Tahoma" w:cs="Tahoma"/>
          <w:spacing w:val="9"/>
          <w:sz w:val="25"/>
          <w:szCs w:val="25"/>
          <w:lang w:val="es-ES" w:eastAsia="es-ES"/>
        </w:rPr>
        <w:t>mil uno</w:t>
      </w:r>
      <w:proofErr w:type="gramEnd"/>
      <w:r>
        <w:rPr>
          <w:rFonts w:ascii="Tahoma" w:hAnsi="Tahoma" w:cs="Tahoma"/>
          <w:spacing w:val="9"/>
          <w:sz w:val="25"/>
          <w:szCs w:val="25"/>
          <w:lang w:val="es-ES" w:eastAsia="es-ES"/>
        </w:rPr>
        <w:t>, respecto del Principio de Legalidad, manifestó:</w:t>
      </w:r>
    </w:p>
    <w:p w:rsidR="0065279C" w:rsidRDefault="00076F58">
      <w:pPr>
        <w:kinsoku w:val="0"/>
        <w:overflowPunct w:val="0"/>
        <w:autoSpaceDE/>
        <w:autoSpaceDN/>
        <w:adjustRightInd/>
        <w:spacing w:before="269" w:line="219" w:lineRule="exact"/>
        <w:ind w:left="432"/>
        <w:jc w:val="both"/>
        <w:textAlignment w:val="baseline"/>
        <w:rPr>
          <w:rFonts w:ascii="Verdana" w:hAnsi="Verdana" w:cs="Verdana"/>
          <w:i/>
          <w:iCs/>
          <w:spacing w:val="-1"/>
          <w:sz w:val="18"/>
          <w:szCs w:val="18"/>
          <w:lang w:val="es-ES" w:eastAsia="es-ES"/>
        </w:rPr>
      </w:pPr>
      <w:r>
        <w:rPr>
          <w:rFonts w:ascii="Verdana" w:hAnsi="Verdana" w:cs="Verdana"/>
          <w:i/>
          <w:iCs/>
          <w:spacing w:val="-1"/>
          <w:sz w:val="18"/>
          <w:szCs w:val="18"/>
          <w:lang w:val="es-ES" w:eastAsia="es-ES"/>
        </w:rPr>
        <w:t xml:space="preserve">"II.- Sobre el principio de legalidad: El principio de legalidad que se consagra en el artículo 11 de nuestra Constitución Política, significa que </w:t>
      </w:r>
      <w:r>
        <w:rPr>
          <w:rFonts w:ascii="Verdana" w:hAnsi="Verdana" w:cs="Verdana"/>
          <w:b/>
          <w:bCs/>
          <w:i/>
          <w:iCs/>
          <w:spacing w:val="-1"/>
          <w:sz w:val="18"/>
          <w:szCs w:val="18"/>
          <w:u w:val="single"/>
          <w:lang w:val="es-ES" w:eastAsia="es-ES"/>
        </w:rPr>
        <w:t>los actos y comportamientos de la Administración deben de estar regulados por norma escrita,</w:t>
      </w:r>
      <w:r>
        <w:rPr>
          <w:rFonts w:ascii="Verdana" w:hAnsi="Verdana" w:cs="Verdana"/>
          <w:i/>
          <w:iCs/>
          <w:spacing w:val="-1"/>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w:t>
      </w:r>
    </w:p>
    <w:p w:rsidR="0065279C" w:rsidRDefault="0065279C">
      <w:pPr>
        <w:widowControl/>
        <w:rPr>
          <w:sz w:val="24"/>
          <w:szCs w:val="24"/>
        </w:rPr>
        <w:sectPr w:rsidR="0065279C">
          <w:pgSz w:w="12302" w:h="15706"/>
          <w:pgMar w:top="780" w:right="1760" w:bottom="330" w:left="1607" w:header="720" w:footer="720" w:gutter="0"/>
          <w:cols w:space="720"/>
          <w:noEndnote/>
        </w:sectPr>
      </w:pPr>
    </w:p>
    <w:p w:rsidR="0065279C" w:rsidRDefault="00076F58">
      <w:pPr>
        <w:kinsoku w:val="0"/>
        <w:overflowPunct w:val="0"/>
        <w:autoSpaceDE/>
        <w:autoSpaceDN/>
        <w:adjustRightInd/>
        <w:spacing w:before="19" w:line="217" w:lineRule="exact"/>
        <w:ind w:left="432"/>
        <w:jc w:val="both"/>
        <w:textAlignment w:val="baseline"/>
        <w:rPr>
          <w:rFonts w:ascii="Verdana" w:hAnsi="Verdana" w:cs="Verdana"/>
          <w:b/>
          <w:bCs/>
          <w:i/>
          <w:iCs/>
          <w:spacing w:val="-1"/>
          <w:sz w:val="18"/>
          <w:szCs w:val="18"/>
          <w:lang w:val="es-ES" w:eastAsia="es-ES"/>
        </w:rPr>
      </w:pPr>
      <w:r>
        <w:rPr>
          <w:rFonts w:ascii="Verdana" w:hAnsi="Verdana" w:cs="Verdana"/>
          <w:i/>
          <w:iCs/>
          <w:spacing w:val="-1"/>
          <w:sz w:val="18"/>
          <w:szCs w:val="18"/>
          <w:lang w:val="es-ES" w:eastAsia="es-ES"/>
        </w:rPr>
        <w:lastRenderedPageBreak/>
        <w:t xml:space="preserve">la Administración, </w:t>
      </w:r>
      <w:r>
        <w:rPr>
          <w:rFonts w:ascii="Verdana" w:hAnsi="Verdana" w:cs="Verdana"/>
          <w:b/>
          <w:bCs/>
          <w:i/>
          <w:iCs/>
          <w:spacing w:val="-1"/>
          <w:sz w:val="18"/>
          <w:szCs w:val="18"/>
          <w:u w:val="single"/>
          <w:lang w:val="es-ES" w:eastAsia="es-ES"/>
        </w:rPr>
        <w:t xml:space="preserve">el cual significa que las instituciones públicas solamente </w:t>
      </w:r>
      <w:proofErr w:type="gramStart"/>
      <w:r>
        <w:rPr>
          <w:rFonts w:ascii="Verdana" w:hAnsi="Verdana" w:cs="Verdana"/>
          <w:b/>
          <w:bCs/>
          <w:i/>
          <w:iCs/>
          <w:spacing w:val="-1"/>
          <w:sz w:val="18"/>
          <w:szCs w:val="18"/>
          <w:u w:val="single"/>
          <w:lang w:val="es-ES" w:eastAsia="es-ES"/>
        </w:rPr>
        <w:t>pueden  actuar</w:t>
      </w:r>
      <w:proofErr w:type="gramEnd"/>
      <w:r>
        <w:rPr>
          <w:rFonts w:ascii="Verdana" w:hAnsi="Verdana" w:cs="Verdana"/>
          <w:b/>
          <w:bCs/>
          <w:i/>
          <w:iCs/>
          <w:spacing w:val="-1"/>
          <w:sz w:val="18"/>
          <w:szCs w:val="18"/>
          <w:u w:val="single"/>
          <w:lang w:val="es-ES" w:eastAsia="es-ES"/>
        </w:rPr>
        <w:t xml:space="preserve"> en la medida en la que se encuentren apoderadas para hacerlo por el mismo  ordenamiento v normalmente a texto expreso, en consecuencia solo le es permitido lo que esté constitucionalmente v legalmente autorizado en forma expresa y todo lo que no les esté autorizado les está vedado. "</w:t>
      </w:r>
      <w:r>
        <w:rPr>
          <w:rFonts w:ascii="Verdana" w:hAnsi="Verdana" w:cs="Verdana"/>
          <w:b/>
          <w:bCs/>
          <w:i/>
          <w:iCs/>
          <w:spacing w:val="-1"/>
          <w:sz w:val="18"/>
          <w:szCs w:val="18"/>
          <w:lang w:val="es-ES" w:eastAsia="es-ES"/>
        </w:rPr>
        <w:t xml:space="preserve"> (Lo resaltado no es del original)</w:t>
      </w:r>
    </w:p>
    <w:p w:rsidR="0065279C" w:rsidRDefault="00076F58">
      <w:pPr>
        <w:kinsoku w:val="0"/>
        <w:overflowPunct w:val="0"/>
        <w:autoSpaceDE/>
        <w:autoSpaceDN/>
        <w:adjustRightInd/>
        <w:spacing w:before="271"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2013 indica respecto del Principio de Legalidad lo siguiente:</w:t>
      </w:r>
    </w:p>
    <w:p w:rsidR="0065279C" w:rsidRDefault="00076F58" w:rsidP="0022653D">
      <w:pPr>
        <w:kinsoku w:val="0"/>
        <w:overflowPunct w:val="0"/>
        <w:autoSpaceDE/>
        <w:autoSpaceDN/>
        <w:adjustRightInd/>
        <w:spacing w:before="273" w:line="218" w:lineRule="exact"/>
        <w:ind w:left="432"/>
        <w:jc w:val="both"/>
        <w:textAlignment w:val="baseline"/>
        <w:rPr>
          <w:rFonts w:ascii="Verdana" w:hAnsi="Verdana" w:cs="Verdana"/>
          <w:i/>
          <w:iCs/>
          <w:sz w:val="18"/>
          <w:szCs w:val="18"/>
          <w:lang w:val="es-ES" w:eastAsia="es-ES"/>
        </w:rPr>
      </w:pPr>
      <w:r>
        <w:rPr>
          <w:rFonts w:ascii="Verdana" w:hAnsi="Verdana" w:cs="Verdana"/>
          <w:i/>
          <w:iCs/>
          <w:spacing w:val="-1"/>
          <w:sz w:val="18"/>
          <w:szCs w:val="18"/>
          <w:lang w:val="es-ES" w:eastAsia="es-ES"/>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Agrega el </w:t>
      </w:r>
      <w:proofErr w:type="gramStart"/>
      <w:r>
        <w:rPr>
          <w:rFonts w:ascii="Verdana" w:hAnsi="Verdana" w:cs="Verdana"/>
          <w:i/>
          <w:iCs/>
          <w:spacing w:val="-1"/>
          <w:sz w:val="18"/>
          <w:szCs w:val="18"/>
          <w:lang w:val="es-ES" w:eastAsia="es-ES"/>
        </w:rPr>
        <w:t>jurista</w:t>
      </w:r>
      <w:proofErr w:type="gramEnd"/>
      <w:r>
        <w:rPr>
          <w:rFonts w:ascii="Verdana" w:hAnsi="Verdana" w:cs="Verdana"/>
          <w:i/>
          <w:iCs/>
          <w:spacing w:val="-1"/>
          <w:sz w:val="18"/>
          <w:szCs w:val="18"/>
          <w:lang w:val="es-ES" w:eastAsia="es-ES"/>
        </w:rPr>
        <w:t xml:space="preserve"> además: "también constituye una garantía de la eficiencia administrativa, pues crea un orden de conducta indispensable para que la acción pública realice los fines que persigue, que permite asegurar un mínimo de oportunidad y conveniencia a su gestión". La sujeción de la actuación</w:t>
      </w:r>
      <w:r w:rsidR="0022653D">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administrativa al Ordenamiento Jurídico significa que la norma se erige en el fundamento previo y necesario de su actividad, y en su fenómeno reflejo, la seguridad</w:t>
      </w:r>
      <w:r w:rsidR="0022653D">
        <w:rPr>
          <w:rFonts w:ascii="Verdana" w:hAnsi="Verdana" w:cs="Verdana"/>
          <w:i/>
          <w:iCs/>
          <w:spacing w:val="-1"/>
          <w:sz w:val="18"/>
          <w:szCs w:val="18"/>
          <w:lang w:val="es-ES" w:eastAsia="es-ES"/>
        </w:rPr>
        <w:t xml:space="preserve"> </w:t>
      </w:r>
      <w:r>
        <w:rPr>
          <w:rFonts w:ascii="Verdana" w:hAnsi="Verdana" w:cs="Verdana"/>
          <w:i/>
          <w:iCs/>
          <w:sz w:val="18"/>
          <w:szCs w:val="18"/>
          <w:lang w:val="es-ES" w:eastAsia="es-ES"/>
        </w:rPr>
        <w:t>jurídica del administrado.</w:t>
      </w:r>
      <w:r w:rsidR="0022653D">
        <w:rPr>
          <w:rFonts w:ascii="Verdana" w:hAnsi="Verdana" w:cs="Verdana"/>
          <w:i/>
          <w:iCs/>
          <w:sz w:val="18"/>
          <w:szCs w:val="18"/>
          <w:lang w:val="es-ES" w:eastAsia="es-ES"/>
        </w:rPr>
        <w:t xml:space="preserve"> De </w:t>
      </w:r>
      <w:r>
        <w:rPr>
          <w:rFonts w:ascii="Verdana" w:hAnsi="Verdana" w:cs="Verdana"/>
          <w:i/>
          <w:iCs/>
          <w:sz w:val="18"/>
          <w:szCs w:val="18"/>
          <w:lang w:val="es-ES" w:eastAsia="es-ES"/>
        </w:rPr>
        <w:t>consiguiente,</w:t>
      </w:r>
      <w:r w:rsidR="0022653D">
        <w:rPr>
          <w:rFonts w:ascii="Verdana" w:hAnsi="Verdana" w:cs="Verdana"/>
          <w:i/>
          <w:iCs/>
          <w:sz w:val="18"/>
          <w:szCs w:val="18"/>
          <w:lang w:val="es-ES" w:eastAsia="es-ES"/>
        </w:rPr>
        <w:t xml:space="preserve"> cualquier </w:t>
      </w:r>
      <w:r>
        <w:rPr>
          <w:rFonts w:ascii="Verdana" w:hAnsi="Verdana" w:cs="Verdana"/>
          <w:i/>
          <w:iCs/>
          <w:sz w:val="18"/>
          <w:szCs w:val="18"/>
          <w:lang w:val="es-ES" w:eastAsia="es-ES"/>
        </w:rPr>
        <w:t>actuación</w:t>
      </w:r>
      <w:r w:rsidR="0022653D">
        <w:rPr>
          <w:rFonts w:ascii="Verdana" w:hAnsi="Verdana" w:cs="Verdana"/>
          <w:i/>
          <w:iCs/>
          <w:sz w:val="18"/>
          <w:szCs w:val="18"/>
          <w:lang w:val="es-ES" w:eastAsia="es-ES"/>
        </w:rPr>
        <w:t xml:space="preserve"> </w:t>
      </w:r>
      <w:r>
        <w:rPr>
          <w:rFonts w:ascii="Verdana" w:hAnsi="Verdana" w:cs="Verdana"/>
          <w:i/>
          <w:iCs/>
          <w:sz w:val="18"/>
          <w:szCs w:val="18"/>
          <w:lang w:val="es-ES" w:eastAsia="es-ES"/>
        </w:rPr>
        <w:t>de la</w:t>
      </w:r>
      <w:r w:rsidR="0022653D">
        <w:rPr>
          <w:rFonts w:ascii="Verdana" w:hAnsi="Verdana" w:cs="Verdana"/>
          <w:i/>
          <w:iCs/>
          <w:sz w:val="18"/>
          <w:szCs w:val="18"/>
          <w:lang w:val="es-ES" w:eastAsia="es-ES"/>
        </w:rPr>
        <w:t xml:space="preserve"> </w:t>
      </w:r>
      <w:r>
        <w:rPr>
          <w:rFonts w:ascii="Verdana" w:hAnsi="Verdana" w:cs="Verdana"/>
          <w:i/>
          <w:iCs/>
          <w:sz w:val="18"/>
          <w:szCs w:val="18"/>
          <w:lang w:val="es-ES" w:eastAsia="es-ES"/>
        </w:rPr>
        <w:t>Administración discordante</w:t>
      </w:r>
      <w:r w:rsidR="0022653D">
        <w:rPr>
          <w:rFonts w:ascii="Verdana" w:hAnsi="Verdana" w:cs="Verdana"/>
          <w:i/>
          <w:iCs/>
          <w:sz w:val="18"/>
          <w:szCs w:val="18"/>
          <w:lang w:val="es-ES" w:eastAsia="es-ES"/>
        </w:rPr>
        <w:t xml:space="preserve"> con </w:t>
      </w:r>
      <w:r>
        <w:rPr>
          <w:rFonts w:ascii="Verdana" w:hAnsi="Verdana" w:cs="Verdana"/>
          <w:i/>
          <w:iCs/>
          <w:sz w:val="18"/>
          <w:szCs w:val="18"/>
          <w:lang w:val="es-ES" w:eastAsia="es-ES"/>
        </w:rPr>
        <w:t>el</w:t>
      </w:r>
      <w:r w:rsidR="0022653D">
        <w:rPr>
          <w:rFonts w:ascii="Verdana" w:hAnsi="Verdana" w:cs="Verdana"/>
          <w:i/>
          <w:iCs/>
          <w:sz w:val="18"/>
          <w:szCs w:val="18"/>
          <w:lang w:val="es-ES" w:eastAsia="es-ES"/>
        </w:rPr>
        <w:t xml:space="preserve"> </w:t>
      </w:r>
      <w:r>
        <w:rPr>
          <w:rFonts w:ascii="Verdana" w:hAnsi="Verdana" w:cs="Verdana"/>
          <w:i/>
          <w:iCs/>
          <w:sz w:val="18"/>
          <w:szCs w:val="18"/>
          <w:lang w:val="es-ES" w:eastAsia="es-ES"/>
        </w:rPr>
        <w:t>bloque</w:t>
      </w:r>
      <w:r w:rsidR="0022653D">
        <w:rPr>
          <w:rFonts w:ascii="Verdana" w:hAnsi="Verdana" w:cs="Verdana"/>
          <w:i/>
          <w:iCs/>
          <w:sz w:val="18"/>
          <w:szCs w:val="18"/>
          <w:lang w:val="es-ES" w:eastAsia="es-ES"/>
        </w:rPr>
        <w:t xml:space="preserve"> de legalidad, constituye </w:t>
      </w:r>
      <w:r>
        <w:rPr>
          <w:rFonts w:ascii="Verdana" w:hAnsi="Verdana" w:cs="Verdana"/>
          <w:i/>
          <w:iCs/>
          <w:sz w:val="18"/>
          <w:szCs w:val="18"/>
          <w:lang w:val="es-ES" w:eastAsia="es-ES"/>
        </w:rPr>
        <w:t>una</w:t>
      </w:r>
      <w:r w:rsidR="0022653D">
        <w:rPr>
          <w:rFonts w:ascii="Verdana" w:hAnsi="Verdana" w:cs="Verdana"/>
          <w:i/>
          <w:iCs/>
          <w:sz w:val="18"/>
          <w:szCs w:val="18"/>
          <w:lang w:val="es-ES" w:eastAsia="es-ES"/>
        </w:rPr>
        <w:t xml:space="preserve"> </w:t>
      </w:r>
      <w:r>
        <w:rPr>
          <w:rFonts w:ascii="Verdana" w:hAnsi="Verdana" w:cs="Verdana"/>
          <w:i/>
          <w:iCs/>
          <w:sz w:val="18"/>
          <w:szCs w:val="18"/>
          <w:lang w:val="es-ES" w:eastAsia="es-ES"/>
        </w:rPr>
        <w:t>infracción del Ordenamiento Jurídico. Desde esta perspectiva, toda autoridad o institución pública lo es y solamente puede actuar en la medida en que se encuentre habilitada para hacerlo por el mismo ordenamiento, y normalmente a texto expreso."</w:t>
      </w:r>
    </w:p>
    <w:p w:rsidR="0065279C" w:rsidRDefault="00076F58">
      <w:pPr>
        <w:kinsoku w:val="0"/>
        <w:overflowPunct w:val="0"/>
        <w:autoSpaceDE/>
        <w:autoSpaceDN/>
        <w:adjustRightInd/>
        <w:spacing w:before="208"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público y de no ajustarse a éste sus actos son nulos.</w:t>
      </w:r>
    </w:p>
    <w:p w:rsidR="0065279C" w:rsidRDefault="00076F58">
      <w:pPr>
        <w:kinsoku w:val="0"/>
        <w:overflowPunct w:val="0"/>
        <w:autoSpaceDE/>
        <w:autoSpaceDN/>
        <w:adjustRightInd/>
        <w:spacing w:before="289" w:line="298"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LA MOTIVACIÓN DE LOS ACTOS ADMINISTRATIVOS</w:t>
      </w:r>
    </w:p>
    <w:p w:rsidR="0065279C" w:rsidRDefault="00076F58">
      <w:pPr>
        <w:kinsoku w:val="0"/>
        <w:overflowPunct w:val="0"/>
        <w:autoSpaceDE/>
        <w:autoSpaceDN/>
        <w:adjustRightInd/>
        <w:spacing w:before="276"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65279C" w:rsidRDefault="00076F58">
      <w:pPr>
        <w:kinsoku w:val="0"/>
        <w:overflowPunct w:val="0"/>
        <w:autoSpaceDE/>
        <w:autoSpaceDN/>
        <w:adjustRightInd/>
        <w:spacing w:before="340"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z w:val="24"/>
          <w:szCs w:val="24"/>
          <w:lang w:val="es-ES" w:eastAsia="es-ES"/>
        </w:rPr>
        <w:t xml:space="preserve">"a) Los actos que impongan obligaciones o que limiten, supriman o denieguen derechos subjetivos;', </w:t>
      </w:r>
      <w:r>
        <w:rPr>
          <w:rFonts w:ascii="Verdana" w:hAnsi="Verdana" w:cs="Verdana"/>
          <w:sz w:val="24"/>
          <w:szCs w:val="24"/>
          <w:lang w:val="es-ES" w:eastAsia="es-ES"/>
        </w:rPr>
        <w:t>esto es así ya que la tutela que</w:t>
      </w:r>
    </w:p>
    <w:p w:rsidR="0065279C" w:rsidRDefault="0065279C">
      <w:pPr>
        <w:widowControl/>
        <w:rPr>
          <w:sz w:val="24"/>
          <w:szCs w:val="24"/>
        </w:rPr>
        <w:sectPr w:rsidR="0065279C">
          <w:pgSz w:w="12302" w:h="15763"/>
          <w:pgMar w:top="960" w:right="1493" w:bottom="231" w:left="1874" w:header="720" w:footer="720" w:gutter="0"/>
          <w:cols w:space="720"/>
          <w:noEndnote/>
        </w:sectPr>
      </w:pPr>
    </w:p>
    <w:p w:rsidR="0065279C" w:rsidRDefault="00076F58">
      <w:pPr>
        <w:kinsoku w:val="0"/>
        <w:overflowPunct w:val="0"/>
        <w:autoSpaceDE/>
        <w:autoSpaceDN/>
        <w:adjustRightInd/>
        <w:spacing w:line="286"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nuestro ordenamiento jurídico hace de los derechos subjetivos de los administrado es de gran relevancia, de ahí que si el acto, por una u otra razón ha de denegar derecho alguno debe ser justificado </w:t>
      </w:r>
      <w:proofErr w:type="gramStart"/>
      <w:r>
        <w:rPr>
          <w:rFonts w:ascii="Verdana" w:hAnsi="Verdana" w:cs="Verdana"/>
          <w:sz w:val="24"/>
          <w:szCs w:val="24"/>
          <w:lang w:val="es-ES" w:eastAsia="es-ES"/>
        </w:rPr>
        <w:t>hartamente</w:t>
      </w:r>
      <w:proofErr w:type="gramEnd"/>
      <w:r>
        <w:rPr>
          <w:rFonts w:ascii="Verdana" w:hAnsi="Verdana" w:cs="Verdana"/>
          <w:sz w:val="24"/>
          <w:szCs w:val="24"/>
          <w:lang w:val="es-ES" w:eastAsia="es-ES"/>
        </w:rPr>
        <w:t xml:space="preserve"> pero esa justificación debe ser coherente con el cuadro fáctico que el operador del derecho tiene frente a sí y el marco legal que regula la materia. (El resaltado es nuestro)</w:t>
      </w:r>
    </w:p>
    <w:p w:rsidR="0065279C" w:rsidRDefault="00076F58">
      <w:pPr>
        <w:kinsoku w:val="0"/>
        <w:overflowPunct w:val="0"/>
        <w:autoSpaceDE/>
        <w:autoSpaceDN/>
        <w:adjustRightInd/>
        <w:spacing w:before="232" w:line="262" w:lineRule="exact"/>
        <w:ind w:left="576"/>
        <w:textAlignment w:val="baseline"/>
        <w:rPr>
          <w:rFonts w:ascii="Verdana" w:hAnsi="Verdana" w:cs="Verdana"/>
          <w:sz w:val="24"/>
          <w:szCs w:val="24"/>
          <w:lang w:eastAsia="en-US"/>
        </w:rPr>
      </w:pPr>
      <w:r>
        <w:rPr>
          <w:rFonts w:ascii="Verdana" w:hAnsi="Verdana" w:cs="Verdana"/>
          <w:i/>
          <w:iCs/>
          <w:spacing w:val="2"/>
          <w:sz w:val="21"/>
          <w:szCs w:val="21"/>
          <w:lang w:val="es-ES" w:eastAsia="es-ES"/>
        </w:rPr>
        <w:t xml:space="preserve">"Artículo </w:t>
      </w:r>
      <w:proofErr w:type="gramStart"/>
      <w:r>
        <w:rPr>
          <w:rFonts w:ascii="Verdana" w:hAnsi="Verdana" w:cs="Verdana"/>
          <w:i/>
          <w:iCs/>
          <w:spacing w:val="2"/>
          <w:sz w:val="21"/>
          <w:szCs w:val="21"/>
          <w:lang w:val="es-ES" w:eastAsia="es-ES"/>
        </w:rPr>
        <w:t>136.</w:t>
      </w:r>
      <w:r>
        <w:rPr>
          <w:rFonts w:ascii="Verdana" w:hAnsi="Verdana" w:cs="Verdana"/>
          <w:i/>
          <w:iCs/>
          <w:spacing w:val="2"/>
          <w:sz w:val="21"/>
          <w:szCs w:val="21"/>
          <w:lang w:val="es-ES" w:eastAsia="es-ES"/>
        </w:rPr>
        <w:noBreakHyphen/>
      </w:r>
      <w:proofErr w:type="gramEnd"/>
    </w:p>
    <w:p w:rsidR="0065279C" w:rsidRDefault="00076F58">
      <w:pPr>
        <w:kinsoku w:val="0"/>
        <w:overflowPunct w:val="0"/>
        <w:autoSpaceDE/>
        <w:autoSpaceDN/>
        <w:adjustRightInd/>
        <w:spacing w:before="306" w:line="249" w:lineRule="exact"/>
        <w:ind w:left="576" w:right="576"/>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1. Serán motivados con mención, sucinta al menos, de sus fundamentos:</w:t>
      </w:r>
    </w:p>
    <w:p w:rsidR="0065279C" w:rsidRDefault="00076F58">
      <w:pPr>
        <w:numPr>
          <w:ilvl w:val="0"/>
          <w:numId w:val="8"/>
        </w:numPr>
        <w:kinsoku w:val="0"/>
        <w:overflowPunct w:val="0"/>
        <w:autoSpaceDE/>
        <w:autoSpaceDN/>
        <w:adjustRightInd/>
        <w:spacing w:before="302" w:line="257" w:lineRule="exact"/>
        <w:ind w:right="576"/>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65279C" w:rsidRDefault="00076F58">
      <w:pPr>
        <w:numPr>
          <w:ilvl w:val="0"/>
          <w:numId w:val="9"/>
        </w:numPr>
        <w:kinsoku w:val="0"/>
        <w:overflowPunct w:val="0"/>
        <w:autoSpaceDE/>
        <w:autoSpaceDN/>
        <w:adjustRightInd/>
        <w:spacing w:line="258" w:lineRule="exact"/>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t>Los que resuelvan recursos;</w:t>
      </w:r>
    </w:p>
    <w:p w:rsidR="0065279C" w:rsidRDefault="00076F58">
      <w:pPr>
        <w:numPr>
          <w:ilvl w:val="0"/>
          <w:numId w:val="10"/>
        </w:numPr>
        <w:kinsoku w:val="0"/>
        <w:overflowPunct w:val="0"/>
        <w:autoSpaceDE/>
        <w:autoSpaceDN/>
        <w:adjustRightInd/>
        <w:spacing w:before="28" w:line="257" w:lineRule="exact"/>
        <w:ind w:right="576"/>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65279C" w:rsidRDefault="00076F58">
      <w:pPr>
        <w:numPr>
          <w:ilvl w:val="0"/>
          <w:numId w:val="9"/>
        </w:numPr>
        <w:kinsoku w:val="0"/>
        <w:overflowPunct w:val="0"/>
        <w:autoSpaceDE/>
        <w:autoSpaceDN/>
        <w:adjustRightInd/>
        <w:spacing w:before="1" w:line="272" w:lineRule="exact"/>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Los de suspensión de actos que hayan sido objeto del recurso;</w:t>
      </w:r>
    </w:p>
    <w:p w:rsidR="0065279C" w:rsidRDefault="00076F58">
      <w:pPr>
        <w:numPr>
          <w:ilvl w:val="0"/>
          <w:numId w:val="9"/>
        </w:numPr>
        <w:kinsoku w:val="0"/>
        <w:overflowPunct w:val="0"/>
        <w:autoSpaceDE/>
        <w:autoSpaceDN/>
        <w:adjustRightInd/>
        <w:spacing w:line="268" w:lineRule="exact"/>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Los reglamentos y actos discrecionales de alcance general; y</w:t>
      </w:r>
    </w:p>
    <w:p w:rsidR="0065279C" w:rsidRDefault="00076F58">
      <w:pPr>
        <w:numPr>
          <w:ilvl w:val="0"/>
          <w:numId w:val="9"/>
        </w:numPr>
        <w:kinsoku w:val="0"/>
        <w:overflowPunct w:val="0"/>
        <w:autoSpaceDE/>
        <w:autoSpaceDN/>
        <w:adjustRightInd/>
        <w:spacing w:line="261" w:lineRule="exact"/>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Los que deban serlo en virtud de ley.</w:t>
      </w:r>
    </w:p>
    <w:p w:rsidR="0065279C" w:rsidRDefault="00076F58">
      <w:pPr>
        <w:kinsoku w:val="0"/>
        <w:overflowPunct w:val="0"/>
        <w:autoSpaceDE/>
        <w:autoSpaceDN/>
        <w:adjustRightInd/>
        <w:spacing w:before="292" w:line="265" w:lineRule="exact"/>
        <w:ind w:left="576" w:right="576"/>
        <w:jc w:val="both"/>
        <w:textAlignment w:val="baseline"/>
        <w:rPr>
          <w:rFonts w:ascii="Verdana" w:hAnsi="Verdana" w:cs="Verdana"/>
          <w:sz w:val="21"/>
          <w:szCs w:val="21"/>
          <w:lang w:val="es-ES" w:eastAsia="es-ES"/>
        </w:rPr>
      </w:pPr>
      <w:r>
        <w:rPr>
          <w:rFonts w:ascii="Verdana" w:hAnsi="Verdana" w:cs="Verdana"/>
          <w:i/>
          <w:iCs/>
          <w:sz w:val="21"/>
          <w:szCs w:val="21"/>
          <w:lang w:val="es-ES" w:eastAsia="es-ES"/>
        </w:rPr>
        <w:t xml:space="preserve">2. </w:t>
      </w:r>
      <w:r>
        <w:rPr>
          <w:rFonts w:ascii="Verdana" w:hAnsi="Verdana" w:cs="Verdana"/>
          <w:b/>
          <w:bCs/>
          <w:sz w:val="21"/>
          <w:szCs w:val="21"/>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z w:val="21"/>
          <w:szCs w:val="21"/>
          <w:lang w:val="es-ES" w:eastAsia="es-ES"/>
        </w:rPr>
        <w:t>(El resaltado no es del original)</w:t>
      </w:r>
    </w:p>
    <w:p w:rsidR="0065279C" w:rsidRDefault="00076F58">
      <w:pPr>
        <w:kinsoku w:val="0"/>
        <w:overflowPunct w:val="0"/>
        <w:autoSpaceDE/>
        <w:autoSpaceDN/>
        <w:adjustRightInd/>
        <w:spacing w:before="259" w:line="288"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El Tribunal Contencioso Administrativo Sección III en su sentencia 00029 de las once horas del treinta de enero de dos mil quince indicó:</w:t>
      </w:r>
    </w:p>
    <w:p w:rsidR="0065279C" w:rsidRDefault="00076F58">
      <w:pPr>
        <w:kinsoku w:val="0"/>
        <w:overflowPunct w:val="0"/>
        <w:autoSpaceDE/>
        <w:autoSpaceDN/>
        <w:adjustRightInd/>
        <w:spacing w:before="244" w:line="220" w:lineRule="exact"/>
        <w:ind w:left="360"/>
        <w:textAlignment w:val="baseline"/>
        <w:rPr>
          <w:rFonts w:ascii="Verdana" w:hAnsi="Verdana" w:cs="Verdana"/>
          <w:i/>
          <w:iCs/>
          <w:spacing w:val="6"/>
          <w:sz w:val="18"/>
          <w:szCs w:val="18"/>
          <w:lang w:val="es-ES" w:eastAsia="es-ES"/>
        </w:rPr>
      </w:pPr>
      <w:r>
        <w:rPr>
          <w:rFonts w:ascii="Verdana" w:hAnsi="Verdana" w:cs="Verdana"/>
          <w:b/>
          <w:bCs/>
          <w:i/>
          <w:iCs/>
          <w:spacing w:val="6"/>
          <w:sz w:val="21"/>
          <w:szCs w:val="21"/>
          <w:lang w:val="es-ES" w:eastAsia="es-ES"/>
        </w:rPr>
        <w:t xml:space="preserve">"HL- </w:t>
      </w:r>
      <w:r>
        <w:rPr>
          <w:rFonts w:ascii="Verdana" w:hAnsi="Verdana" w:cs="Verdana"/>
          <w:i/>
          <w:iCs/>
          <w:spacing w:val="6"/>
          <w:sz w:val="18"/>
          <w:szCs w:val="18"/>
          <w:lang w:val="es-ES" w:eastAsia="es-ES"/>
        </w:rPr>
        <w:t>SOBRE EL DEBER DE MOTIVACIÓN DE LOS ACTOS ADMINISTRATIVOS. Ha de</w:t>
      </w:r>
    </w:p>
    <w:p w:rsidR="0065279C" w:rsidRDefault="00076F58">
      <w:pPr>
        <w:tabs>
          <w:tab w:val="left" w:pos="1584"/>
          <w:tab w:val="left" w:pos="2232"/>
          <w:tab w:val="left" w:pos="4032"/>
          <w:tab w:val="left" w:pos="5328"/>
          <w:tab w:val="left" w:pos="5904"/>
          <w:tab w:val="left" w:pos="6408"/>
        </w:tabs>
        <w:kinsoku w:val="0"/>
        <w:overflowPunct w:val="0"/>
        <w:autoSpaceDE/>
        <w:autoSpaceDN/>
        <w:adjustRightInd/>
        <w:spacing w:before="24" w:line="218" w:lineRule="exact"/>
        <w:ind w:left="360" w:right="360"/>
        <w:jc w:val="both"/>
        <w:textAlignment w:val="baseline"/>
        <w:rPr>
          <w:rFonts w:ascii="Verdana" w:hAnsi="Verdana" w:cs="Verdana"/>
          <w:i/>
          <w:iCs/>
          <w:spacing w:val="-2"/>
          <w:sz w:val="18"/>
          <w:szCs w:val="18"/>
          <w:u w:val="single"/>
          <w:lang w:val="es-ES" w:eastAsia="es-ES"/>
        </w:rPr>
      </w:pPr>
      <w:r>
        <w:rPr>
          <w:rFonts w:ascii="Verdana" w:hAnsi="Verdana" w:cs="Verdana"/>
          <w:i/>
          <w:iCs/>
          <w:spacing w:val="-2"/>
          <w:sz w:val="18"/>
          <w:szCs w:val="18"/>
          <w:lang w:val="es-ES" w:eastAsia="es-ES"/>
        </w:rPr>
        <w:t>indicarse,</w:t>
      </w:r>
      <w:r>
        <w:rPr>
          <w:rFonts w:ascii="Verdana" w:hAnsi="Verdana" w:cs="Verdana"/>
          <w:i/>
          <w:iCs/>
          <w:spacing w:val="-2"/>
          <w:sz w:val="18"/>
          <w:szCs w:val="18"/>
          <w:lang w:val="es-ES" w:eastAsia="es-ES"/>
        </w:rPr>
        <w:tab/>
        <w:t>que</w:t>
      </w:r>
      <w:r>
        <w:rPr>
          <w:rFonts w:ascii="Verdana" w:hAnsi="Verdana" w:cs="Verdana"/>
          <w:i/>
          <w:iCs/>
          <w:spacing w:val="-2"/>
          <w:sz w:val="18"/>
          <w:szCs w:val="18"/>
          <w:lang w:val="es-ES" w:eastAsia="es-ES"/>
        </w:rPr>
        <w:tab/>
        <w:t>la motivación se</w:t>
      </w:r>
      <w:r>
        <w:rPr>
          <w:rFonts w:ascii="Verdana" w:hAnsi="Verdana" w:cs="Verdana"/>
          <w:i/>
          <w:iCs/>
          <w:spacing w:val="-2"/>
          <w:sz w:val="18"/>
          <w:szCs w:val="18"/>
          <w:lang w:val="es-ES" w:eastAsia="es-ES"/>
        </w:rPr>
        <w:tab/>
        <w:t>constituye</w:t>
      </w:r>
      <w:r>
        <w:rPr>
          <w:rFonts w:ascii="Verdana" w:hAnsi="Verdana" w:cs="Verdana"/>
          <w:i/>
          <w:iCs/>
          <w:spacing w:val="-2"/>
          <w:sz w:val="18"/>
          <w:szCs w:val="18"/>
          <w:lang w:val="es-ES" w:eastAsia="es-ES"/>
        </w:rPr>
        <w:tab/>
        <w:t>en</w:t>
      </w:r>
      <w:r>
        <w:rPr>
          <w:rFonts w:ascii="Verdana" w:hAnsi="Verdana" w:cs="Verdana"/>
          <w:i/>
          <w:iCs/>
          <w:spacing w:val="-2"/>
          <w:sz w:val="18"/>
          <w:szCs w:val="18"/>
          <w:lang w:val="es-ES" w:eastAsia="es-ES"/>
        </w:rPr>
        <w:tab/>
        <w:t>un</w:t>
      </w:r>
      <w:r>
        <w:rPr>
          <w:rFonts w:ascii="Verdana" w:hAnsi="Verdana" w:cs="Verdana"/>
          <w:i/>
          <w:iCs/>
          <w:spacing w:val="-2"/>
          <w:sz w:val="18"/>
          <w:szCs w:val="18"/>
          <w:lang w:val="es-ES" w:eastAsia="es-ES"/>
        </w:rPr>
        <w:tab/>
        <w:t>elemento sustancial</w:t>
      </w:r>
      <w:r>
        <w:rPr>
          <w:rFonts w:ascii="Verdana" w:hAnsi="Verdana" w:cs="Verdana"/>
          <w:i/>
          <w:iCs/>
          <w:spacing w:val="-2"/>
          <w:sz w:val="18"/>
          <w:szCs w:val="18"/>
          <w:lang w:val="es-ES" w:eastAsia="es-ES"/>
        </w:rPr>
        <w:br/>
        <w:t xml:space="preserve">del acto administrativo, que exige la consignación de las cuestiones fácticas y/o jurídicas que sustentan la voluntad pública en el caso concreto. </w:t>
      </w:r>
      <w:r>
        <w:rPr>
          <w:rFonts w:ascii="Verdana" w:hAnsi="Verdana" w:cs="Verdana"/>
          <w:i/>
          <w:iCs/>
          <w:spacing w:val="-2"/>
          <w:sz w:val="18"/>
          <w:szCs w:val="18"/>
          <w:u w:val="single"/>
          <w:lang w:val="es-ES" w:eastAsia="es-ES"/>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2"/>
          <w:sz w:val="18"/>
          <w:szCs w:val="18"/>
          <w:lang w:val="es-ES" w:eastAsia="es-ES"/>
        </w:rPr>
        <w:t xml:space="preserve"> </w:t>
      </w:r>
      <w:proofErr w:type="gramStart"/>
      <w:r>
        <w:rPr>
          <w:rFonts w:ascii="Verdana" w:hAnsi="Verdana" w:cs="Verdana"/>
          <w:i/>
          <w:iCs/>
          <w:spacing w:val="-2"/>
          <w:sz w:val="18"/>
          <w:szCs w:val="18"/>
          <w:lang w:val="es-ES" w:eastAsia="es-ES"/>
        </w:rPr>
        <w:t>Pero</w:t>
      </w:r>
      <w:proofErr w:type="gramEnd"/>
      <w:r>
        <w:rPr>
          <w:rFonts w:ascii="Verdana" w:hAnsi="Verdana" w:cs="Verdana"/>
          <w:i/>
          <w:iCs/>
          <w:spacing w:val="-2"/>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Pr>
          <w:rFonts w:ascii="Verdana" w:hAnsi="Verdana" w:cs="Verdana"/>
          <w:i/>
          <w:iCs/>
          <w:spacing w:val="-2"/>
          <w:sz w:val="18"/>
          <w:szCs w:val="18"/>
          <w:lang w:val="es-ES" w:eastAsia="es-ES"/>
        </w:rPr>
        <w:t>prohijan</w:t>
      </w:r>
      <w:proofErr w:type="spellEnd"/>
      <w:r>
        <w:rPr>
          <w:rFonts w:ascii="Verdana" w:hAnsi="Verdana" w:cs="Verdana"/>
          <w:i/>
          <w:iCs/>
          <w:spacing w:val="-2"/>
          <w:sz w:val="18"/>
          <w:szCs w:val="18"/>
          <w:lang w:val="es-ES" w:eastAsia="es-ES"/>
        </w:rPr>
        <w:t xml:space="preserve">. </w:t>
      </w:r>
      <w:r>
        <w:rPr>
          <w:rFonts w:ascii="Verdana" w:hAnsi="Verdana" w:cs="Verdana"/>
          <w:i/>
          <w:iCs/>
          <w:spacing w:val="-2"/>
          <w:sz w:val="18"/>
          <w:szCs w:val="18"/>
          <w:u w:val="single"/>
          <w:lang w:val="es-ES" w:eastAsia="es-ES"/>
        </w:rPr>
        <w:t xml:space="preserve">La relevancia de </w:t>
      </w:r>
      <w:proofErr w:type="gramStart"/>
      <w:r>
        <w:rPr>
          <w:rFonts w:ascii="Verdana" w:hAnsi="Verdana" w:cs="Verdana"/>
          <w:i/>
          <w:iCs/>
          <w:spacing w:val="-2"/>
          <w:sz w:val="18"/>
          <w:szCs w:val="18"/>
          <w:u w:val="single"/>
          <w:lang w:val="es-ES" w:eastAsia="es-ES"/>
        </w:rPr>
        <w:t>esta  exigencia</w:t>
      </w:r>
      <w:proofErr w:type="gramEnd"/>
      <w:r>
        <w:rPr>
          <w:rFonts w:ascii="Verdana" w:hAnsi="Verdana" w:cs="Verdana"/>
          <w:i/>
          <w:iCs/>
          <w:spacing w:val="-2"/>
          <w:sz w:val="18"/>
          <w:szCs w:val="18"/>
          <w:u w:val="single"/>
          <w:lang w:val="es-ES" w:eastAsia="es-ES"/>
        </w:rPr>
        <w:t xml:space="preserve"> implica un análisis que permita vincular los aspectos de hecho y de derecho atinentes al asunto que se examina (doctrina del artículo 132.1 LGAP), ergo, supone, como </w:t>
      </w:r>
    </w:p>
    <w:p w:rsidR="0065279C" w:rsidRDefault="0065279C">
      <w:pPr>
        <w:widowControl/>
        <w:rPr>
          <w:sz w:val="24"/>
          <w:szCs w:val="24"/>
        </w:rPr>
        <w:sectPr w:rsidR="0065279C">
          <w:pgSz w:w="12302" w:h="15763"/>
          <w:pgMar w:top="840" w:right="1767" w:bottom="307" w:left="1600" w:header="720" w:footer="720" w:gutter="0"/>
          <w:cols w:space="720"/>
          <w:noEndnote/>
        </w:sectPr>
      </w:pPr>
    </w:p>
    <w:p w:rsidR="0065279C" w:rsidRDefault="00076F58">
      <w:pPr>
        <w:kinsoku w:val="0"/>
        <w:overflowPunct w:val="0"/>
        <w:autoSpaceDE/>
        <w:autoSpaceDN/>
        <w:adjustRightInd/>
        <w:spacing w:before="18" w:line="218" w:lineRule="exact"/>
        <w:ind w:left="360"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u w:val="single"/>
          <w:lang w:val="es-ES" w:eastAsia="es-ES"/>
        </w:rPr>
        <w:lastRenderedPageBreak/>
        <w:t xml:space="preserve">tesis de principio, una determinación de los hechos </w:t>
      </w:r>
      <w:proofErr w:type="spellStart"/>
      <w:r>
        <w:rPr>
          <w:rFonts w:ascii="Verdana" w:hAnsi="Verdana" w:cs="Verdana"/>
          <w:i/>
          <w:iCs/>
          <w:spacing w:val="-2"/>
          <w:sz w:val="18"/>
          <w:szCs w:val="18"/>
          <w:u w:val="single"/>
          <w:lang w:val="es-ES" w:eastAsia="es-ES"/>
        </w:rPr>
        <w:t>relevantes_para</w:t>
      </w:r>
      <w:proofErr w:type="spellEnd"/>
      <w:r>
        <w:rPr>
          <w:rFonts w:ascii="Verdana" w:hAnsi="Verdana" w:cs="Verdana"/>
          <w:i/>
          <w:iCs/>
          <w:spacing w:val="-2"/>
          <w:sz w:val="18"/>
          <w:szCs w:val="18"/>
          <w:u w:val="single"/>
          <w:lang w:val="es-ES" w:eastAsia="es-ES"/>
        </w:rPr>
        <w:t xml:space="preserve"> la decisión (orientados por la máxima de verdad real -214, 308 </w:t>
      </w:r>
      <w:proofErr w:type="spellStart"/>
      <w:r>
        <w:rPr>
          <w:rFonts w:ascii="Verdana" w:hAnsi="Verdana" w:cs="Verdana"/>
          <w:i/>
          <w:iCs/>
          <w:spacing w:val="-2"/>
          <w:sz w:val="18"/>
          <w:szCs w:val="18"/>
          <w:u w:val="single"/>
          <w:lang w:val="es-ES" w:eastAsia="es-ES"/>
        </w:rPr>
        <w:t>ibídem</w:t>
      </w:r>
      <w:proofErr w:type="spellEnd"/>
      <w:r>
        <w:rPr>
          <w:rFonts w:ascii="Verdana" w:hAnsi="Verdana" w:cs="Verdana"/>
          <w:i/>
          <w:iCs/>
          <w:spacing w:val="-2"/>
          <w:sz w:val="18"/>
          <w:szCs w:val="18"/>
          <w:u w:val="single"/>
          <w:lang w:val="es-ES" w:eastAsia="es-ES"/>
        </w:rPr>
        <w:t xml:space="preserve">) y el examen de la procedencia </w:t>
      </w:r>
      <w:proofErr w:type="gramStart"/>
      <w:r>
        <w:rPr>
          <w:rFonts w:ascii="Verdana" w:hAnsi="Verdana" w:cs="Verdana"/>
          <w:i/>
          <w:iCs/>
          <w:spacing w:val="-2"/>
          <w:sz w:val="18"/>
          <w:szCs w:val="18"/>
          <w:u w:val="single"/>
          <w:lang w:val="es-ES" w:eastAsia="es-ES"/>
        </w:rPr>
        <w:t>o  improcedencia</w:t>
      </w:r>
      <w:proofErr w:type="gramEnd"/>
      <w:r>
        <w:rPr>
          <w:rFonts w:ascii="Verdana" w:hAnsi="Verdana" w:cs="Verdana"/>
          <w:i/>
          <w:iCs/>
          <w:spacing w:val="-2"/>
          <w:sz w:val="18"/>
          <w:szCs w:val="18"/>
          <w:u w:val="single"/>
          <w:lang w:val="es-ES" w:eastAsia="es-ES"/>
        </w:rPr>
        <w:t xml:space="preserve"> de un determinado efecto, a la luz de las normas jurídicas atinentes al caso. </w:t>
      </w:r>
      <w:r>
        <w:rPr>
          <w:rFonts w:ascii="Verdana" w:hAnsi="Verdana" w:cs="Verdana"/>
          <w:i/>
          <w:iCs/>
          <w:spacing w:val="-2"/>
          <w:sz w:val="18"/>
          <w:szCs w:val="18"/>
          <w:lang w:val="es-ES" w:eastAsia="es-ES"/>
        </w:rPr>
        <w:t xml:space="preserve">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Pr>
          <w:rFonts w:ascii="Verdana" w:hAnsi="Verdana" w:cs="Verdana"/>
          <w:i/>
          <w:iCs/>
          <w:spacing w:val="-2"/>
          <w:sz w:val="18"/>
          <w:szCs w:val="18"/>
          <w:lang w:val="es-ES" w:eastAsia="es-ES"/>
        </w:rPr>
        <w:t>recurribilidad</w:t>
      </w:r>
      <w:proofErr w:type="spellEnd"/>
      <w:r>
        <w:rPr>
          <w:rFonts w:ascii="Verdana" w:hAnsi="Verdana" w:cs="Verdana"/>
          <w:i/>
          <w:iCs/>
          <w:spacing w:val="-2"/>
          <w:sz w:val="18"/>
          <w:szCs w:val="18"/>
          <w:lang w:val="es-ES" w:eastAsia="es-ES"/>
        </w:rPr>
        <w:t>....</w:t>
      </w:r>
      <w:proofErr w:type="gramEnd"/>
      <w:r>
        <w:rPr>
          <w:rFonts w:ascii="Verdana" w:hAnsi="Verdana" w:cs="Verdana"/>
          <w:i/>
          <w:iCs/>
          <w:spacing w:val="-2"/>
          <w:sz w:val="18"/>
          <w:szCs w:val="18"/>
          <w:lang w:val="es-ES" w:eastAsia="es-ES"/>
        </w:rPr>
        <w:t>"</w:t>
      </w:r>
    </w:p>
    <w:p w:rsidR="0065279C" w:rsidRDefault="00076F58">
      <w:pPr>
        <w:kinsoku w:val="0"/>
        <w:overflowPunct w:val="0"/>
        <w:autoSpaceDE/>
        <w:autoSpaceDN/>
        <w:adjustRightInd/>
        <w:spacing w:before="212" w:line="262" w:lineRule="exact"/>
        <w:ind w:right="72"/>
        <w:textAlignment w:val="baseline"/>
        <w:rPr>
          <w:rFonts w:ascii="Tahoma" w:hAnsi="Tahoma" w:cs="Tahoma"/>
          <w:b/>
          <w:bCs/>
          <w:spacing w:val="14"/>
          <w:sz w:val="24"/>
          <w:szCs w:val="24"/>
          <w:lang w:val="es-ES" w:eastAsia="es-ES"/>
        </w:rPr>
      </w:pPr>
      <w:r>
        <w:rPr>
          <w:rFonts w:ascii="Tahoma" w:hAnsi="Tahoma" w:cs="Tahoma"/>
          <w:b/>
          <w:bCs/>
          <w:spacing w:val="14"/>
          <w:sz w:val="24"/>
          <w:szCs w:val="24"/>
          <w:lang w:val="es-ES" w:eastAsia="es-ES"/>
        </w:rPr>
        <w:t>DEL CASO CONCRETO</w:t>
      </w:r>
    </w:p>
    <w:p w:rsidR="0065279C" w:rsidRDefault="00076F58">
      <w:pPr>
        <w:kinsoku w:val="0"/>
        <w:overflowPunct w:val="0"/>
        <w:autoSpaceDE/>
        <w:autoSpaceDN/>
        <w:adjustRightInd/>
        <w:spacing w:before="314" w:line="291" w:lineRule="exact"/>
        <w:ind w:right="72"/>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 xml:space="preserve">La empresa recurrente en su líbelo, plantea dos argumentos básicos, en primer lugar, el hecho de que el CTP insista en que se deba realizar el análisis de los procedimientos para la evaluación de la calidad del servicio, con entes acreditados por el </w:t>
      </w:r>
      <w:r>
        <w:rPr>
          <w:rFonts w:ascii="Tahoma" w:hAnsi="Tahoma" w:cs="Tahoma"/>
          <w:b/>
          <w:bCs/>
          <w:spacing w:val="13"/>
          <w:sz w:val="24"/>
          <w:szCs w:val="24"/>
          <w:lang w:val="es-ES" w:eastAsia="es-ES"/>
        </w:rPr>
        <w:t xml:space="preserve">ECA, </w:t>
      </w:r>
      <w:r>
        <w:rPr>
          <w:rFonts w:ascii="Tahoma" w:hAnsi="Tahoma" w:cs="Tahoma"/>
          <w:spacing w:val="13"/>
          <w:sz w:val="24"/>
          <w:szCs w:val="24"/>
          <w:lang w:val="es-ES" w:eastAsia="es-ES"/>
        </w:rPr>
        <w:t>aun cuando éste haya indicado que no cuenta con acreditaciones que tengan especialidad en Transporte Público; y en segundo lugar que el CTP, en el acto impugnado es omiso al indicar el impacto que tendrá en la tarifa al utilizarse los órganos acreditados, lo cuales son por demás onerosos.</w:t>
      </w:r>
    </w:p>
    <w:p w:rsidR="0065279C" w:rsidRDefault="00076F58">
      <w:pPr>
        <w:kinsoku w:val="0"/>
        <w:overflowPunct w:val="0"/>
        <w:autoSpaceDE/>
        <w:autoSpaceDN/>
        <w:adjustRightInd/>
        <w:spacing w:before="383" w:line="284" w:lineRule="exact"/>
        <w:ind w:right="72"/>
        <w:jc w:val="both"/>
        <w:textAlignment w:val="baseline"/>
        <w:rPr>
          <w:rFonts w:ascii="Tahoma" w:hAnsi="Tahoma" w:cs="Tahoma"/>
          <w:spacing w:val="15"/>
          <w:sz w:val="24"/>
          <w:szCs w:val="24"/>
          <w:lang w:val="es-ES" w:eastAsia="es-ES"/>
        </w:rPr>
      </w:pPr>
      <w:r>
        <w:rPr>
          <w:rFonts w:ascii="Tahoma" w:hAnsi="Tahoma" w:cs="Tahoma"/>
          <w:spacing w:val="15"/>
          <w:sz w:val="24"/>
          <w:szCs w:val="24"/>
          <w:lang w:val="es-ES" w:eastAsia="es-ES"/>
        </w:rPr>
        <w:t xml:space="preserve">Entre otros indica el recurrente, se dispone que debe contratarse con organismos acreditados ante el </w:t>
      </w:r>
      <w:r>
        <w:rPr>
          <w:rFonts w:ascii="Tahoma" w:hAnsi="Tahoma" w:cs="Tahoma"/>
          <w:b/>
          <w:bCs/>
          <w:spacing w:val="15"/>
          <w:sz w:val="24"/>
          <w:szCs w:val="24"/>
          <w:lang w:val="es-ES" w:eastAsia="es-ES"/>
        </w:rPr>
        <w:t xml:space="preserve">ECA (Ente Costarricense de Acreditación), </w:t>
      </w:r>
      <w:r>
        <w:rPr>
          <w:rFonts w:ascii="Tahoma" w:hAnsi="Tahoma" w:cs="Tahoma"/>
          <w:spacing w:val="15"/>
          <w:sz w:val="24"/>
          <w:szCs w:val="24"/>
          <w:lang w:val="es-ES" w:eastAsia="es-ES"/>
        </w:rPr>
        <w:t xml:space="preserve">pero no se ha tomado en cuenta la posición reiterada por el </w:t>
      </w:r>
      <w:r>
        <w:rPr>
          <w:rFonts w:ascii="Tahoma" w:hAnsi="Tahoma" w:cs="Tahoma"/>
          <w:b/>
          <w:bCs/>
          <w:spacing w:val="15"/>
          <w:sz w:val="24"/>
          <w:szCs w:val="24"/>
          <w:lang w:val="es-ES" w:eastAsia="es-ES"/>
        </w:rPr>
        <w:t xml:space="preserve">ECA </w:t>
      </w:r>
      <w:r>
        <w:rPr>
          <w:rFonts w:ascii="Tahoma" w:hAnsi="Tahoma" w:cs="Tahoma"/>
          <w:spacing w:val="15"/>
          <w:sz w:val="24"/>
          <w:szCs w:val="24"/>
          <w:lang w:val="es-ES" w:eastAsia="es-ES"/>
        </w:rPr>
        <w:t xml:space="preserve">en el sentido que actualmente no cuenta con organismos acreditados en la materia de Transporte Público como se pude verificar del oficio </w:t>
      </w:r>
      <w:r>
        <w:rPr>
          <w:rFonts w:ascii="Tahoma" w:hAnsi="Tahoma" w:cs="Tahoma"/>
          <w:b/>
          <w:bCs/>
          <w:spacing w:val="15"/>
          <w:sz w:val="24"/>
          <w:szCs w:val="24"/>
          <w:lang w:val="es-ES" w:eastAsia="es-ES"/>
        </w:rPr>
        <w:t xml:space="preserve">ECA-G-2017-075 del 24 de abril de 2017 </w:t>
      </w:r>
      <w:r>
        <w:rPr>
          <w:rFonts w:ascii="Tahoma" w:hAnsi="Tahoma" w:cs="Tahoma"/>
          <w:spacing w:val="15"/>
          <w:sz w:val="24"/>
          <w:szCs w:val="24"/>
          <w:lang w:val="es-ES" w:eastAsia="es-ES"/>
        </w:rPr>
        <w:t>dirigido a la Licda. L</w:t>
      </w:r>
      <w:r w:rsidR="00E415E4">
        <w:rPr>
          <w:rFonts w:ascii="Tahoma" w:hAnsi="Tahoma" w:cs="Tahoma"/>
          <w:spacing w:val="15"/>
          <w:sz w:val="24"/>
          <w:szCs w:val="24"/>
          <w:lang w:val="es-ES" w:eastAsia="es-ES"/>
        </w:rPr>
        <w:t>.M.R.R.</w:t>
      </w:r>
      <w:r>
        <w:rPr>
          <w:rFonts w:ascii="Tahoma" w:hAnsi="Tahoma" w:cs="Tahoma"/>
          <w:spacing w:val="15"/>
          <w:sz w:val="24"/>
          <w:szCs w:val="24"/>
          <w:lang w:val="es-ES" w:eastAsia="es-ES"/>
        </w:rPr>
        <w:t xml:space="preserve">, así mismo en oficio </w:t>
      </w:r>
      <w:r>
        <w:rPr>
          <w:rFonts w:ascii="Tahoma" w:hAnsi="Tahoma" w:cs="Tahoma"/>
          <w:b/>
          <w:bCs/>
          <w:spacing w:val="15"/>
          <w:sz w:val="24"/>
          <w:szCs w:val="24"/>
          <w:lang w:val="es-ES" w:eastAsia="es-ES"/>
        </w:rPr>
        <w:t xml:space="preserve">ECA-G2017-100 de 9 de mayo de 2017. </w:t>
      </w:r>
      <w:r>
        <w:rPr>
          <w:rFonts w:ascii="Tahoma" w:hAnsi="Tahoma" w:cs="Tahoma"/>
          <w:spacing w:val="15"/>
          <w:sz w:val="24"/>
          <w:szCs w:val="24"/>
          <w:lang w:val="es-ES" w:eastAsia="es-ES"/>
        </w:rPr>
        <w:t xml:space="preserve">El acuerdo recurrido tampoco toma en consideración el Oficio número </w:t>
      </w:r>
      <w:r>
        <w:rPr>
          <w:rFonts w:ascii="Tahoma" w:hAnsi="Tahoma" w:cs="Tahoma"/>
          <w:b/>
          <w:bCs/>
          <w:spacing w:val="15"/>
          <w:sz w:val="24"/>
          <w:szCs w:val="24"/>
          <w:lang w:val="es-ES" w:eastAsia="es-ES"/>
        </w:rPr>
        <w:t xml:space="preserve">JDG-1353-15/16 de 12 de octubre de 2016 </w:t>
      </w:r>
      <w:r>
        <w:rPr>
          <w:rFonts w:ascii="Tahoma" w:hAnsi="Tahoma" w:cs="Tahoma"/>
          <w:spacing w:val="15"/>
          <w:sz w:val="24"/>
          <w:szCs w:val="24"/>
          <w:lang w:val="es-ES" w:eastAsia="es-ES"/>
        </w:rPr>
        <w:t xml:space="preserve">del Colegio de Ingenieros y Arquitectos de Costa Rica y suscrito por el Ing. Olman Vargas, donde éste solicita al </w:t>
      </w:r>
      <w:r>
        <w:rPr>
          <w:rFonts w:ascii="Tahoma" w:hAnsi="Tahoma" w:cs="Tahoma"/>
          <w:b/>
          <w:bCs/>
          <w:spacing w:val="15"/>
          <w:sz w:val="24"/>
          <w:szCs w:val="24"/>
          <w:lang w:val="es-ES" w:eastAsia="es-ES"/>
        </w:rPr>
        <w:t xml:space="preserve">ECA </w:t>
      </w:r>
      <w:r>
        <w:rPr>
          <w:rFonts w:ascii="Tahoma" w:hAnsi="Tahoma" w:cs="Tahoma"/>
          <w:spacing w:val="15"/>
          <w:sz w:val="24"/>
          <w:szCs w:val="24"/>
          <w:lang w:val="es-ES" w:eastAsia="es-ES"/>
        </w:rPr>
        <w:t>se excluya a sus agremiados de cualquier disposición de poder ejercer la actividad de fiscalización en materia de la calidad en transporte público.</w:t>
      </w:r>
    </w:p>
    <w:p w:rsidR="0065279C" w:rsidRDefault="00076F58">
      <w:pPr>
        <w:kinsoku w:val="0"/>
        <w:overflowPunct w:val="0"/>
        <w:autoSpaceDE/>
        <w:autoSpaceDN/>
        <w:adjustRightInd/>
        <w:spacing w:before="343" w:line="284" w:lineRule="exact"/>
        <w:ind w:right="72"/>
        <w:jc w:val="both"/>
        <w:textAlignment w:val="baseline"/>
        <w:rPr>
          <w:rFonts w:ascii="Tahoma" w:hAnsi="Tahoma" w:cs="Tahoma"/>
          <w:spacing w:val="16"/>
          <w:sz w:val="24"/>
          <w:szCs w:val="24"/>
          <w:lang w:val="es-ES" w:eastAsia="es-ES"/>
        </w:rPr>
      </w:pPr>
      <w:r>
        <w:rPr>
          <w:rFonts w:ascii="Tahoma" w:hAnsi="Tahoma" w:cs="Tahoma"/>
          <w:spacing w:val="16"/>
          <w:sz w:val="24"/>
          <w:szCs w:val="24"/>
          <w:lang w:val="es-ES" w:eastAsia="es-ES"/>
        </w:rPr>
        <w:t xml:space="preserve">Dice que el acuerdo recurrido no indica nada con relación a los costos de estos estudios y sin esta valoración la Autoridad Reguladora de los Servicios Públicos no puede incorporar en las tarifas el costo de éstos. Finalmente refiere que el acuerdo va en contra de la economía procesal pues el CTP a sabiendas que el </w:t>
      </w:r>
      <w:r>
        <w:rPr>
          <w:rFonts w:ascii="Tahoma" w:hAnsi="Tahoma" w:cs="Tahoma"/>
          <w:b/>
          <w:bCs/>
          <w:spacing w:val="16"/>
          <w:sz w:val="24"/>
          <w:szCs w:val="24"/>
          <w:lang w:val="es-ES" w:eastAsia="es-ES"/>
        </w:rPr>
        <w:t xml:space="preserve">ECA </w:t>
      </w:r>
      <w:r>
        <w:rPr>
          <w:rFonts w:ascii="Tahoma" w:hAnsi="Tahoma" w:cs="Tahoma"/>
          <w:spacing w:val="16"/>
          <w:sz w:val="24"/>
          <w:szCs w:val="24"/>
          <w:lang w:val="es-ES" w:eastAsia="es-ES"/>
        </w:rPr>
        <w:t>reiteradamente ha manifestado no contar con profesionales acreditados para llevar a cabo dichos estudios exige que deba centrarse con éstos, siendo innecesario generar diligencias de excepción en una situación ya conocida, por lo que el acuerdo no tiene un contenido válido, por lo que solicita se revoque el mismo.</w:t>
      </w:r>
    </w:p>
    <w:p w:rsidR="0065279C" w:rsidRDefault="0065279C">
      <w:pPr>
        <w:widowControl/>
        <w:rPr>
          <w:sz w:val="24"/>
          <w:szCs w:val="24"/>
        </w:rPr>
        <w:sectPr w:rsidR="0065279C">
          <w:pgSz w:w="12307" w:h="15782"/>
          <w:pgMar w:top="1000" w:right="1508" w:bottom="211" w:left="1864" w:header="720" w:footer="720" w:gutter="0"/>
          <w:cols w:space="720"/>
          <w:noEndnote/>
        </w:sectPr>
      </w:pPr>
    </w:p>
    <w:p w:rsidR="0065279C" w:rsidRDefault="00076F58">
      <w:pPr>
        <w:kinsoku w:val="0"/>
        <w:overflowPunct w:val="0"/>
        <w:autoSpaceDE/>
        <w:autoSpaceDN/>
        <w:adjustRightInd/>
        <w:spacing w:line="290"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lastRenderedPageBreak/>
        <w:t xml:space="preserve">Dado los argumentos del recurrente, este Tribunal Administrativo de Transporte, giró prevención al CTP para que se refiriera a los oficios emitidos por </w:t>
      </w:r>
      <w:r>
        <w:rPr>
          <w:rFonts w:ascii="Verdana" w:hAnsi="Verdana" w:cs="Verdana"/>
          <w:b/>
          <w:bCs/>
          <w:spacing w:val="-1"/>
          <w:sz w:val="24"/>
          <w:szCs w:val="24"/>
          <w:lang w:val="es-ES" w:eastAsia="es-ES"/>
        </w:rPr>
        <w:t xml:space="preserve">ECA, </w:t>
      </w:r>
      <w:r>
        <w:rPr>
          <w:rFonts w:ascii="Verdana" w:hAnsi="Verdana" w:cs="Verdana"/>
          <w:spacing w:val="-1"/>
          <w:sz w:val="24"/>
          <w:szCs w:val="24"/>
          <w:lang w:val="es-ES" w:eastAsia="es-ES"/>
        </w:rPr>
        <w:t xml:space="preserve">las cuales se refirieron supra, en cuanto a su carencia de profesionales acreditados con experiencia en Transporte Público. El Consejo de Transporte público se apersonó por escrito y manifestó en lo conducente, que su actuación se circunscribe al cumplimiento de la Ley y la Reglamentación existente, tal es el caso el Decreto Ejecutivo 28833-MOPT "Reglamento para la Evaluación de la Calidad del Servicio Público de Transporte Remunerado de Personas" y las reformas operadas en éste mediante Decretos 29760-MOPT y 38603-MOPT, en concordancia con la Ley 8279 del Sistema Nacional para la Calidad. Así mismo indica que la actuación del CTP, ha venido siendo conteste con acuerdos de Junta Directiva anterior y criterios de la Procuraduría General de la República. Manifiesta además que no es requerido estrictamente que los estudios deban realizarse por empresas con especialidad en Transporte Público, pues lo que se valora es la correcta aplicación de la valoración de la calidad del servicio. Finalmente advierte que el Consejo de Transporte Público, ha sido claro en el acuerdo impugnado en el sentido de que, de no contarse ante el </w:t>
      </w:r>
      <w:r>
        <w:rPr>
          <w:rFonts w:ascii="Verdana" w:hAnsi="Verdana" w:cs="Verdana"/>
          <w:b/>
          <w:bCs/>
          <w:spacing w:val="-1"/>
          <w:sz w:val="24"/>
          <w:szCs w:val="24"/>
          <w:lang w:val="es-ES" w:eastAsia="es-ES"/>
        </w:rPr>
        <w:t xml:space="preserve">ECA </w:t>
      </w:r>
      <w:r>
        <w:rPr>
          <w:rFonts w:ascii="Verdana" w:hAnsi="Verdana" w:cs="Verdana"/>
          <w:spacing w:val="-1"/>
          <w:sz w:val="24"/>
          <w:szCs w:val="24"/>
          <w:lang w:val="es-ES" w:eastAsia="es-ES"/>
        </w:rPr>
        <w:t>con las empresas suficientes, previa demostración de tal hecho ante el CTP.</w:t>
      </w:r>
    </w:p>
    <w:p w:rsidR="0065279C" w:rsidRDefault="00076F58">
      <w:pPr>
        <w:kinsoku w:val="0"/>
        <w:overflowPunct w:val="0"/>
        <w:autoSpaceDE/>
        <w:autoSpaceDN/>
        <w:adjustRightInd/>
        <w:spacing w:before="294" w:line="291"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Por otro </w:t>
      </w:r>
      <w:proofErr w:type="gramStart"/>
      <w:r>
        <w:rPr>
          <w:rFonts w:ascii="Verdana" w:hAnsi="Verdana" w:cs="Verdana"/>
          <w:sz w:val="24"/>
          <w:szCs w:val="24"/>
          <w:lang w:val="es-ES" w:eastAsia="es-ES"/>
        </w:rPr>
        <w:t>lado</w:t>
      </w:r>
      <w:proofErr w:type="gramEnd"/>
      <w:r>
        <w:rPr>
          <w:rFonts w:ascii="Verdana" w:hAnsi="Verdana" w:cs="Verdana"/>
          <w:sz w:val="24"/>
          <w:szCs w:val="24"/>
          <w:lang w:val="es-ES" w:eastAsia="es-ES"/>
        </w:rPr>
        <w:t xml:space="preserve"> el CTP se apersona el día 16 de agosto de 2017 ante el Tribunal Administrativo de Transporte, e indica que adiciona lo dicho en otro momento aportando el oficio </w:t>
      </w:r>
      <w:r>
        <w:rPr>
          <w:rFonts w:ascii="Verdana" w:hAnsi="Verdana" w:cs="Verdana"/>
          <w:b/>
          <w:bCs/>
          <w:sz w:val="24"/>
          <w:szCs w:val="24"/>
          <w:lang w:val="es-ES" w:eastAsia="es-ES"/>
        </w:rPr>
        <w:t xml:space="preserve">ECA-PJD-OF-006-2017 </w:t>
      </w:r>
      <w:r>
        <w:rPr>
          <w:rFonts w:ascii="Verdana" w:hAnsi="Verdana" w:cs="Verdana"/>
          <w:sz w:val="24"/>
          <w:szCs w:val="24"/>
          <w:lang w:val="es-ES" w:eastAsia="es-ES"/>
        </w:rPr>
        <w:t xml:space="preserve">del </w:t>
      </w:r>
      <w:r>
        <w:rPr>
          <w:rFonts w:ascii="Verdana" w:hAnsi="Verdana" w:cs="Verdana"/>
          <w:b/>
          <w:bCs/>
          <w:sz w:val="24"/>
          <w:szCs w:val="24"/>
          <w:lang w:val="es-ES" w:eastAsia="es-ES"/>
        </w:rPr>
        <w:t>ECA.</w:t>
      </w:r>
    </w:p>
    <w:p w:rsidR="0065279C" w:rsidRDefault="00076F58">
      <w:pPr>
        <w:kinsoku w:val="0"/>
        <w:overflowPunct w:val="0"/>
        <w:autoSpaceDE/>
        <w:autoSpaceDN/>
        <w:adjustRightInd/>
        <w:spacing w:before="297"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Dicho </w:t>
      </w:r>
      <w:r>
        <w:rPr>
          <w:rFonts w:ascii="Verdana" w:hAnsi="Verdana" w:cs="Verdana"/>
          <w:b/>
          <w:bCs/>
          <w:sz w:val="24"/>
          <w:szCs w:val="24"/>
          <w:lang w:val="es-ES" w:eastAsia="es-ES"/>
        </w:rPr>
        <w:t xml:space="preserve">oficio ECA-PJD-OF-006-2017 del 11 de agosto de 2017 del Ente Costarricense de Acreditaciones, </w:t>
      </w:r>
      <w:r>
        <w:rPr>
          <w:rFonts w:ascii="Verdana" w:hAnsi="Verdana" w:cs="Verdana"/>
          <w:sz w:val="24"/>
          <w:szCs w:val="24"/>
          <w:lang w:val="es-ES" w:eastAsia="es-ES"/>
        </w:rPr>
        <w:t>determina: (Léanse folios 149 y 150, del expediente administrativo.)</w:t>
      </w:r>
    </w:p>
    <w:p w:rsidR="0065279C" w:rsidRDefault="00076F58">
      <w:pPr>
        <w:kinsoku w:val="0"/>
        <w:overflowPunct w:val="0"/>
        <w:autoSpaceDE/>
        <w:autoSpaceDN/>
        <w:adjustRightInd/>
        <w:spacing w:before="281" w:line="193"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 (...) La Junta Directiva del ECA, en la sesión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JDE-008-2017, realizada el día 10 de agosto de 2017, acuerda emitir un comunicado para aclarar los alcances de la Nota </w:t>
      </w:r>
      <w:proofErr w:type="spellStart"/>
      <w:r>
        <w:rPr>
          <w:rFonts w:ascii="Verdana" w:hAnsi="Verdana" w:cs="Verdana"/>
          <w:i/>
          <w:iCs/>
          <w:sz w:val="16"/>
          <w:szCs w:val="16"/>
          <w:lang w:val="es-ES" w:eastAsia="es-ES"/>
        </w:rPr>
        <w:t>Ref</w:t>
      </w:r>
      <w:proofErr w:type="spellEnd"/>
      <w:r>
        <w:rPr>
          <w:rFonts w:ascii="Verdana" w:hAnsi="Verdana" w:cs="Verdana"/>
          <w:i/>
          <w:iCs/>
          <w:sz w:val="16"/>
          <w:szCs w:val="16"/>
          <w:lang w:val="es-ES" w:eastAsia="es-ES"/>
        </w:rPr>
        <w:t>: ECA-G-2017-107 (consignada erróneamente como ECA-G-2017-10) emitida por el Gerente General. En tal sentido, se deja sin efecto lo señalado en la misiva en mención, por cuanto, no existe una conducta ilegal por parte de los organismos de inspección acreditados que ofrecen servicios de inspección para actividades no acreditadas, siempre que expresen de forma clara y exacta cuales actividades están cubiertas por el alcance de acreditación.</w:t>
      </w:r>
    </w:p>
    <w:p w:rsidR="0065279C" w:rsidRDefault="00076F58">
      <w:pPr>
        <w:kinsoku w:val="0"/>
        <w:overflowPunct w:val="0"/>
        <w:autoSpaceDE/>
        <w:autoSpaceDN/>
        <w:adjustRightInd/>
        <w:spacing w:before="189" w:line="193" w:lineRule="exact"/>
        <w:ind w:left="432"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Se reitera que el ECA es el único ente competente a nivel nacional para llevar a cabo las actividades de acreditación, de conformidad con el artículo 21 de la Ley </w:t>
      </w:r>
      <w:proofErr w:type="spellStart"/>
      <w:r>
        <w:rPr>
          <w:rFonts w:ascii="Verdana" w:hAnsi="Verdana" w:cs="Verdana"/>
          <w:i/>
          <w:iCs/>
          <w:spacing w:val="-2"/>
          <w:sz w:val="16"/>
          <w:szCs w:val="16"/>
          <w:lang w:val="es-ES" w:eastAsia="es-ES"/>
        </w:rPr>
        <w:t>N°</w:t>
      </w:r>
      <w:proofErr w:type="spellEnd"/>
      <w:r>
        <w:rPr>
          <w:rFonts w:ascii="Verdana" w:hAnsi="Verdana" w:cs="Verdana"/>
          <w:i/>
          <w:iCs/>
          <w:spacing w:val="-2"/>
          <w:sz w:val="16"/>
          <w:szCs w:val="16"/>
          <w:lang w:val="es-ES" w:eastAsia="es-ES"/>
        </w:rPr>
        <w:t xml:space="preserve"> 8279, de manera transparente y confiable, con la meta de mantener un Sistema de Calidad sostenible y robusto a largo plazo.</w:t>
      </w:r>
    </w:p>
    <w:p w:rsidR="0065279C" w:rsidRDefault="00076F58">
      <w:pPr>
        <w:kinsoku w:val="0"/>
        <w:overflowPunct w:val="0"/>
        <w:autoSpaceDE/>
        <w:autoSpaceDN/>
        <w:adjustRightInd/>
        <w:spacing w:before="198" w:line="199" w:lineRule="exact"/>
        <w:ind w:left="432" w:right="432"/>
        <w:jc w:val="both"/>
        <w:textAlignment w:val="baseline"/>
        <w:rPr>
          <w:rFonts w:ascii="Verdana" w:hAnsi="Verdana" w:cs="Verdana"/>
          <w:b/>
          <w:bCs/>
          <w:i/>
          <w:iCs/>
          <w:sz w:val="16"/>
          <w:szCs w:val="16"/>
          <w:u w:val="single"/>
          <w:lang w:val="es-ES" w:eastAsia="es-ES"/>
        </w:rPr>
      </w:pPr>
      <w:r>
        <w:rPr>
          <w:rFonts w:ascii="Verdana" w:hAnsi="Verdana" w:cs="Verdana"/>
          <w:b/>
          <w:bCs/>
          <w:i/>
          <w:iCs/>
          <w:sz w:val="16"/>
          <w:szCs w:val="16"/>
          <w:u w:val="single"/>
          <w:lang w:val="es-ES" w:eastAsia="es-ES"/>
        </w:rPr>
        <w:t xml:space="preserve">Es potestad exclusiva del órgano regulador, en este caso el </w:t>
      </w:r>
      <w:proofErr w:type="spellStart"/>
      <w:r>
        <w:rPr>
          <w:rFonts w:ascii="Verdana" w:hAnsi="Verdana" w:cs="Verdana"/>
          <w:b/>
          <w:bCs/>
          <w:i/>
          <w:iCs/>
          <w:sz w:val="16"/>
          <w:szCs w:val="16"/>
          <w:u w:val="single"/>
          <w:lang w:val="es-ES" w:eastAsia="es-ES"/>
        </w:rPr>
        <w:t>Conseio</w:t>
      </w:r>
      <w:proofErr w:type="spellEnd"/>
      <w:r>
        <w:rPr>
          <w:rFonts w:ascii="Verdana" w:hAnsi="Verdana" w:cs="Verdana"/>
          <w:b/>
          <w:bCs/>
          <w:i/>
          <w:iCs/>
          <w:sz w:val="16"/>
          <w:szCs w:val="16"/>
          <w:u w:val="single"/>
          <w:lang w:val="es-ES" w:eastAsia="es-ES"/>
        </w:rPr>
        <w:t xml:space="preserve"> de Transporte Público (CTP), definir las condiciones v requisitos de contratación de los organismos de inspección para llevar a cabo las Evaluaciones de Calidad del Servicio de Transporte remunerado de personas modalidad autobuses. (..),"</w:t>
      </w:r>
    </w:p>
    <w:p w:rsidR="0065279C" w:rsidRDefault="00076F58" w:rsidP="00E415E4">
      <w:pPr>
        <w:kinsoku w:val="0"/>
        <w:overflowPunct w:val="0"/>
        <w:autoSpaceDE/>
        <w:autoSpaceDN/>
        <w:adjustRightInd/>
        <w:spacing w:before="308" w:after="379" w:line="291" w:lineRule="exact"/>
        <w:ind w:left="72" w:right="72"/>
        <w:jc w:val="both"/>
        <w:textAlignment w:val="baseline"/>
        <w:rPr>
          <w:rFonts w:ascii="Verdana" w:hAnsi="Verdana" w:cs="Verdana"/>
          <w:spacing w:val="-5"/>
          <w:sz w:val="24"/>
          <w:szCs w:val="24"/>
          <w:lang w:val="es-ES" w:eastAsia="es-ES"/>
        </w:rPr>
      </w:pPr>
      <w:r>
        <w:rPr>
          <w:rFonts w:ascii="Verdana" w:hAnsi="Verdana" w:cs="Verdana"/>
          <w:spacing w:val="-5"/>
          <w:sz w:val="24"/>
          <w:szCs w:val="24"/>
          <w:lang w:val="es-ES" w:eastAsia="es-ES"/>
        </w:rPr>
        <w:t>Por lo anterior, en Criterio de este Tribunal el recurso debe declararse sin lugar, ya que la actuación del Consejo de Transporte Público, se encuentra enmarcada dentro del Principio de Legalidad; es conforme en todos sus elementos esenciales con el ordenamiento jurídico y está adecuadamente motivada, pues la decisión tomada, no constituye un acto discrecional de la Administración, sino un mandato de Ley que debe el CTP cumplir.</w:t>
      </w:r>
    </w:p>
    <w:p w:rsidR="0065279C" w:rsidRDefault="0065279C">
      <w:pPr>
        <w:widowControl/>
        <w:rPr>
          <w:sz w:val="24"/>
          <w:szCs w:val="24"/>
        </w:rPr>
        <w:sectPr w:rsidR="0065279C">
          <w:pgSz w:w="12307" w:h="15782"/>
          <w:pgMar w:top="820" w:right="1765" w:bottom="326" w:left="1602" w:header="720" w:footer="720" w:gutter="0"/>
          <w:cols w:space="720"/>
          <w:noEndnote/>
        </w:sectPr>
      </w:pPr>
    </w:p>
    <w:p w:rsidR="0065279C" w:rsidRDefault="00076F58">
      <w:pPr>
        <w:kinsoku w:val="0"/>
        <w:overflowPunct w:val="0"/>
        <w:autoSpaceDE/>
        <w:autoSpaceDN/>
        <w:adjustRightInd/>
        <w:spacing w:before="16" w:line="282"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La Ley </w:t>
      </w:r>
      <w:proofErr w:type="spellStart"/>
      <w:r>
        <w:rPr>
          <w:rFonts w:ascii="Verdana" w:hAnsi="Verdana" w:cs="Verdana"/>
          <w:b/>
          <w:bCs/>
          <w:sz w:val="24"/>
          <w:szCs w:val="24"/>
          <w:lang w:val="es-ES" w:eastAsia="es-ES"/>
        </w:rPr>
        <w:t>N°</w:t>
      </w:r>
      <w:proofErr w:type="spellEnd"/>
      <w:r>
        <w:rPr>
          <w:rFonts w:ascii="Verdana" w:hAnsi="Verdana" w:cs="Verdana"/>
          <w:b/>
          <w:bCs/>
          <w:sz w:val="24"/>
          <w:szCs w:val="24"/>
          <w:lang w:val="es-ES" w:eastAsia="es-ES"/>
        </w:rPr>
        <w:t xml:space="preserve"> 8279 ley del "Sistema Nacional para la Calidad" </w:t>
      </w:r>
      <w:r>
        <w:rPr>
          <w:rFonts w:ascii="Verdana" w:hAnsi="Verdana" w:cs="Verdana"/>
          <w:sz w:val="24"/>
          <w:szCs w:val="24"/>
          <w:lang w:val="es-ES" w:eastAsia="es-ES"/>
        </w:rPr>
        <w:t>establece en su artículo 34 lo siguiente:</w:t>
      </w:r>
    </w:p>
    <w:p w:rsidR="0065279C" w:rsidRDefault="00076F58">
      <w:pPr>
        <w:kinsoku w:val="0"/>
        <w:overflowPunct w:val="0"/>
        <w:autoSpaceDE/>
        <w:autoSpaceDN/>
        <w:adjustRightInd/>
        <w:spacing w:before="288" w:line="216" w:lineRule="exact"/>
        <w:ind w:left="432" w:right="432"/>
        <w:jc w:val="both"/>
        <w:textAlignment w:val="baseline"/>
        <w:rPr>
          <w:rFonts w:ascii="Verdana" w:hAnsi="Verdana" w:cs="Verdana"/>
          <w:i/>
          <w:iCs/>
          <w:spacing w:val="10"/>
          <w:sz w:val="16"/>
          <w:szCs w:val="16"/>
          <w:lang w:val="es-ES" w:eastAsia="es-ES"/>
        </w:rPr>
      </w:pPr>
      <w:r>
        <w:rPr>
          <w:rFonts w:ascii="Verdana" w:hAnsi="Verdana" w:cs="Verdana"/>
          <w:b/>
          <w:bCs/>
          <w:i/>
          <w:iCs/>
          <w:spacing w:val="10"/>
          <w:sz w:val="16"/>
          <w:szCs w:val="16"/>
          <w:lang w:val="es-ES" w:eastAsia="es-ES"/>
        </w:rPr>
        <w:t xml:space="preserve">"Artículo </w:t>
      </w:r>
      <w:r>
        <w:rPr>
          <w:rFonts w:ascii="Verdana" w:hAnsi="Verdana" w:cs="Verdana"/>
          <w:i/>
          <w:iCs/>
          <w:spacing w:val="10"/>
          <w:sz w:val="16"/>
          <w:szCs w:val="16"/>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65279C" w:rsidRDefault="00076F58">
      <w:pPr>
        <w:kinsoku w:val="0"/>
        <w:overflowPunct w:val="0"/>
        <w:autoSpaceDE/>
        <w:autoSpaceDN/>
        <w:adjustRightInd/>
        <w:spacing w:before="226" w:line="216"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Los laboratorios estatales deberán acreditarse ante el ECA, de conformidad con el reglamento respectivo."</w:t>
      </w:r>
    </w:p>
    <w:p w:rsidR="0065279C" w:rsidRDefault="00076F58">
      <w:pPr>
        <w:kinsoku w:val="0"/>
        <w:overflowPunct w:val="0"/>
        <w:autoSpaceDE/>
        <w:autoSpaceDN/>
        <w:adjustRightInd/>
        <w:spacing w:before="305" w:line="289" w:lineRule="exact"/>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De acuerdo con lo anterior, es claro que el Consejo de Transporte Público se ve compelido al cumplimiento de la norma, sin embargo, en el mismo</w:t>
      </w:r>
    </w:p>
    <w:p w:rsidR="0065279C" w:rsidRDefault="00076F58">
      <w:pPr>
        <w:kinsoku w:val="0"/>
        <w:overflowPunct w:val="0"/>
        <w:autoSpaceDE/>
        <w:autoSpaceDN/>
        <w:adjustRightInd/>
        <w:spacing w:before="82" w:line="196" w:lineRule="exact"/>
        <w:jc w:val="both"/>
        <w:textAlignment w:val="baseline"/>
        <w:rPr>
          <w:rFonts w:ascii="Verdana" w:hAnsi="Verdana" w:cs="Verdana"/>
          <w:b/>
          <w:bCs/>
          <w:sz w:val="16"/>
          <w:szCs w:val="16"/>
          <w:lang w:val="es-ES" w:eastAsia="es-ES"/>
        </w:rPr>
      </w:pPr>
      <w:r>
        <w:rPr>
          <w:rFonts w:ascii="Verdana" w:hAnsi="Verdana" w:cs="Verdana"/>
          <w:sz w:val="24"/>
          <w:szCs w:val="24"/>
          <w:lang w:val="es-ES" w:eastAsia="es-ES"/>
        </w:rPr>
        <w:t xml:space="preserve">acuerdo se determina en su </w:t>
      </w:r>
      <w:r>
        <w:rPr>
          <w:rFonts w:ascii="Verdana" w:hAnsi="Verdana" w:cs="Verdana"/>
          <w:b/>
          <w:bCs/>
          <w:sz w:val="24"/>
          <w:szCs w:val="24"/>
          <w:lang w:val="es-ES" w:eastAsia="es-ES"/>
        </w:rPr>
        <w:t xml:space="preserve">POR TANTO </w:t>
      </w:r>
      <w:proofErr w:type="spellStart"/>
      <w:r>
        <w:rPr>
          <w:rFonts w:ascii="Verdana" w:hAnsi="Verdana" w:cs="Verdana"/>
          <w:b/>
          <w:bCs/>
          <w:sz w:val="24"/>
          <w:szCs w:val="24"/>
          <w:lang w:val="es-ES" w:eastAsia="es-ES"/>
        </w:rPr>
        <w:t>Setimo</w:t>
      </w:r>
      <w:proofErr w:type="spellEnd"/>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que: </w:t>
      </w:r>
      <w:r>
        <w:rPr>
          <w:rFonts w:ascii="Verdana" w:hAnsi="Verdana" w:cs="Verdana"/>
          <w:sz w:val="16"/>
          <w:szCs w:val="16"/>
          <w:lang w:val="es-ES" w:eastAsia="es-ES"/>
        </w:rPr>
        <w:t xml:space="preserve">"7. </w:t>
      </w:r>
      <w:r>
        <w:rPr>
          <w:rFonts w:ascii="Verdana" w:hAnsi="Verdana" w:cs="Verdana"/>
          <w:b/>
          <w:bCs/>
          <w:sz w:val="16"/>
          <w:szCs w:val="16"/>
          <w:u w:val="single"/>
          <w:lang w:val="es-ES" w:eastAsia="es-ES"/>
        </w:rPr>
        <w:t>Se establecen las Excepciones v dispensas del requisito de contratación de Organismos de Inspección Acreditados ante el ECA para el año 2017,</w:t>
      </w:r>
      <w:r>
        <w:rPr>
          <w:rFonts w:ascii="Verdana" w:hAnsi="Verdana" w:cs="Verdana"/>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sz w:val="16"/>
          <w:szCs w:val="16"/>
          <w:u w:val="single"/>
          <w:lang w:val="es-ES" w:eastAsia="es-ES"/>
        </w:rPr>
        <w:t xml:space="preserve">improrrogable </w:t>
      </w:r>
      <w:r>
        <w:rPr>
          <w:rFonts w:ascii="Verdana" w:hAnsi="Verdana" w:cs="Verdana"/>
          <w:sz w:val="16"/>
          <w:szCs w:val="16"/>
          <w:lang w:val="es-ES" w:eastAsia="es-ES"/>
        </w:rPr>
        <w:t xml:space="preserve">hasta el </w:t>
      </w:r>
      <w:r>
        <w:rPr>
          <w:rFonts w:ascii="Verdana" w:hAnsi="Verdana" w:cs="Verdana"/>
          <w:b/>
          <w:bCs/>
          <w:sz w:val="16"/>
          <w:szCs w:val="16"/>
          <w:u w:val="single"/>
          <w:lang w:val="es-ES" w:eastAsia="es-ES"/>
        </w:rPr>
        <w:t xml:space="preserve">1 de agosto del 2017, </w:t>
      </w:r>
      <w:r>
        <w:rPr>
          <w:rFonts w:ascii="Verdana" w:hAnsi="Verdana" w:cs="Verdana"/>
          <w:sz w:val="16"/>
          <w:szCs w:val="16"/>
          <w:u w:val="single"/>
          <w:lang w:val="es-ES" w:eastAsia="es-ES"/>
        </w:rPr>
        <w:t xml:space="preserve">para demostrar ante el </w:t>
      </w:r>
      <w:r w:rsidR="00E415E4">
        <w:rPr>
          <w:rFonts w:ascii="Verdana" w:hAnsi="Verdana" w:cs="Verdana"/>
          <w:sz w:val="16"/>
          <w:szCs w:val="16"/>
          <w:u w:val="single"/>
          <w:lang w:val="es-ES" w:eastAsia="es-ES"/>
        </w:rPr>
        <w:t>Consejo</w:t>
      </w:r>
      <w:r>
        <w:rPr>
          <w:rFonts w:ascii="Verdana" w:hAnsi="Verdana" w:cs="Verdana"/>
          <w:sz w:val="16"/>
          <w:szCs w:val="16"/>
          <w:u w:val="single"/>
          <w:lang w:val="es-ES" w:eastAsia="es-ES"/>
        </w:rPr>
        <w:t xml:space="preserve"> de Transporte Público, </w:t>
      </w:r>
      <w:r>
        <w:rPr>
          <w:rFonts w:ascii="Verdana" w:hAnsi="Verdana" w:cs="Verdana"/>
          <w:b/>
          <w:bCs/>
          <w:sz w:val="16"/>
          <w:szCs w:val="16"/>
          <w:u w:val="single"/>
          <w:lang w:val="es-ES" w:eastAsia="es-ES"/>
        </w:rPr>
        <w:t xml:space="preserve">la imposibilidad  de aplicar la evaluación de inconformidad contratando Organismos de Evaluación acreditados ante  </w:t>
      </w:r>
      <w:r>
        <w:rPr>
          <w:rFonts w:ascii="Verdana" w:hAnsi="Verdana" w:cs="Verdana"/>
          <w:b/>
          <w:bCs/>
          <w:sz w:val="16"/>
          <w:szCs w:val="16"/>
          <w:lang w:val="es-ES" w:eastAsia="es-ES"/>
        </w:rPr>
        <w:t xml:space="preserve">el ECA: </w:t>
      </w:r>
      <w:r>
        <w:rPr>
          <w:rFonts w:ascii="Verdana" w:hAnsi="Verdana" w:cs="Verdana"/>
          <w:sz w:val="16"/>
          <w:szCs w:val="16"/>
          <w:lang w:val="es-ES" w:eastAsia="es-ES"/>
        </w:rPr>
        <w:t xml:space="preserve">para lo cual deberán demostrar con </w:t>
      </w:r>
      <w:r>
        <w:rPr>
          <w:rFonts w:ascii="Verdana" w:hAnsi="Verdana" w:cs="Verdana"/>
          <w:b/>
          <w:bCs/>
          <w:sz w:val="16"/>
          <w:szCs w:val="16"/>
          <w:u w:val="single"/>
          <w:lang w:val="es-ES" w:eastAsia="es-ES"/>
        </w:rPr>
        <w:t>documentos idóneos,</w:t>
      </w:r>
      <w:r>
        <w:rPr>
          <w:rFonts w:ascii="Verdana" w:hAnsi="Verdana" w:cs="Verdana"/>
          <w:sz w:val="16"/>
          <w:szCs w:val="16"/>
          <w:lang w:val="es-ES" w:eastAsia="es-ES"/>
        </w:rPr>
        <w:t xml:space="preserve"> que gestionaron </w:t>
      </w:r>
      <w:r>
        <w:rPr>
          <w:rFonts w:ascii="Verdana" w:hAnsi="Verdana" w:cs="Verdana"/>
          <w:b/>
          <w:bCs/>
          <w:sz w:val="16"/>
          <w:szCs w:val="16"/>
          <w:u w:val="single"/>
          <w:lang w:val="es-ES" w:eastAsia="es-ES"/>
        </w:rPr>
        <w:t xml:space="preserve">ante todos los organismos de inspección acreditados por el </w:t>
      </w:r>
      <w:r>
        <w:rPr>
          <w:rFonts w:ascii="Verdana" w:hAnsi="Verdana" w:cs="Verdana"/>
          <w:sz w:val="16"/>
          <w:szCs w:val="16"/>
          <w:u w:val="single"/>
          <w:lang w:val="es-ES" w:eastAsia="es-ES"/>
        </w:rPr>
        <w:t>ECA,</w:t>
      </w:r>
      <w:r>
        <w:rPr>
          <w:rFonts w:ascii="Verdana" w:hAnsi="Verdana" w:cs="Verdana"/>
          <w:sz w:val="16"/>
          <w:szCs w:val="16"/>
          <w:lang w:val="es-ES" w:eastAsia="es-ES"/>
        </w:rPr>
        <w:t xml:space="preserve"> la cotización para la realización y levantamiento del estudio de calidad del año 2017, </w:t>
      </w:r>
      <w:r>
        <w:rPr>
          <w:rFonts w:ascii="Verdana" w:hAnsi="Verdana" w:cs="Verdana"/>
          <w:sz w:val="16"/>
          <w:szCs w:val="16"/>
          <w:u w:val="single"/>
          <w:lang w:val="es-ES" w:eastAsia="es-ES"/>
        </w:rPr>
        <w:t>y que estas diligencias fueron infructuosas, por hechos no imputables al  prestatario.</w:t>
      </w:r>
      <w:r>
        <w:rPr>
          <w:rFonts w:ascii="Verdana" w:hAnsi="Verdana" w:cs="Verdana"/>
          <w:sz w:val="16"/>
          <w:szCs w:val="16"/>
          <w:lang w:val="es-ES" w:eastAsia="es-ES"/>
        </w:rPr>
        <w:t xml:space="preserve"> Para la eventual aplicación de esta condición de excepcionalidad y dispensa, </w:t>
      </w:r>
      <w:r>
        <w:rPr>
          <w:rFonts w:ascii="Verdana" w:hAnsi="Verdana" w:cs="Verdana"/>
          <w:b/>
          <w:bCs/>
          <w:sz w:val="16"/>
          <w:szCs w:val="16"/>
          <w:u w:val="single"/>
          <w:lang w:val="es-ES" w:eastAsia="es-ES"/>
        </w:rPr>
        <w:t xml:space="preserve">se tienen </w:t>
      </w:r>
      <w:proofErr w:type="gramStart"/>
      <w:r>
        <w:rPr>
          <w:rFonts w:ascii="Verdana" w:hAnsi="Verdana" w:cs="Verdana"/>
          <w:b/>
          <w:bCs/>
          <w:sz w:val="16"/>
          <w:szCs w:val="16"/>
          <w:u w:val="single"/>
          <w:lang w:val="es-ES" w:eastAsia="es-ES"/>
        </w:rPr>
        <w:t>como  documentos</w:t>
      </w:r>
      <w:proofErr w:type="gramEnd"/>
      <w:r>
        <w:rPr>
          <w:rFonts w:ascii="Verdana" w:hAnsi="Verdana" w:cs="Verdana"/>
          <w:b/>
          <w:bCs/>
          <w:sz w:val="16"/>
          <w:szCs w:val="16"/>
          <w:u w:val="single"/>
          <w:lang w:val="es-ES" w:eastAsia="es-ES"/>
        </w:rPr>
        <w:t xml:space="preserve"> probatorios idóneos,</w:t>
      </w:r>
      <w:r>
        <w:rPr>
          <w:rFonts w:ascii="Verdana" w:hAnsi="Verdana" w:cs="Verdana"/>
          <w:sz w:val="16"/>
          <w:szCs w:val="16"/>
          <w:lang w:val="es-ES" w:eastAsia="es-ES"/>
        </w:rPr>
        <w:t xml:space="preserve"> los que seguidamente se señalan; mismos que deberá presentar el interesado </w:t>
      </w:r>
      <w:r>
        <w:rPr>
          <w:rFonts w:ascii="Verdana" w:hAnsi="Verdana" w:cs="Verdana"/>
          <w:b/>
          <w:bCs/>
          <w:sz w:val="16"/>
          <w:szCs w:val="16"/>
          <w:u w:val="single"/>
          <w:lang w:val="es-ES" w:eastAsia="es-ES"/>
        </w:rPr>
        <w:t>en su totalidad,</w:t>
      </w:r>
      <w:r>
        <w:rPr>
          <w:rFonts w:ascii="Verdana" w:hAnsi="Verdana" w:cs="Verdana"/>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sz w:val="16"/>
          <w:szCs w:val="16"/>
          <w:lang w:val="es-ES" w:eastAsia="es-ES"/>
        </w:rPr>
        <w:t>a más tardar el 1 de agosto del 2017:</w:t>
      </w:r>
    </w:p>
    <w:p w:rsidR="0065279C" w:rsidRDefault="00076F58">
      <w:pPr>
        <w:kinsoku w:val="0"/>
        <w:overflowPunct w:val="0"/>
        <w:autoSpaceDE/>
        <w:autoSpaceDN/>
        <w:adjustRightInd/>
        <w:spacing w:before="194" w:line="190" w:lineRule="exact"/>
        <w:textAlignment w:val="baseline"/>
        <w:rPr>
          <w:rFonts w:ascii="Verdana" w:hAnsi="Verdana" w:cs="Verdana"/>
          <w:spacing w:val="2"/>
          <w:sz w:val="16"/>
          <w:szCs w:val="16"/>
          <w:lang w:val="es-ES" w:eastAsia="es-ES"/>
        </w:rPr>
      </w:pPr>
      <w:r>
        <w:rPr>
          <w:rFonts w:ascii="Verdana" w:hAnsi="Verdana" w:cs="Verdana"/>
          <w:spacing w:val="2"/>
          <w:sz w:val="16"/>
          <w:szCs w:val="16"/>
          <w:lang w:val="es-ES" w:eastAsia="es-ES"/>
        </w:rPr>
        <w:t>-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w:t>
      </w:r>
    </w:p>
    <w:p w:rsidR="0065279C" w:rsidRDefault="00076F58">
      <w:pPr>
        <w:kinsoku w:val="0"/>
        <w:overflowPunct w:val="0"/>
        <w:autoSpaceDE/>
        <w:autoSpaceDN/>
        <w:adjustRightInd/>
        <w:spacing w:before="25" w:line="186" w:lineRule="exact"/>
        <w:jc w:val="both"/>
        <w:textAlignment w:val="baseline"/>
        <w:rPr>
          <w:rFonts w:ascii="Verdana" w:hAnsi="Verdana" w:cs="Verdana"/>
          <w:sz w:val="16"/>
          <w:szCs w:val="16"/>
          <w:lang w:val="es-ES" w:eastAsia="es-ES"/>
        </w:rPr>
      </w:pPr>
      <w:r>
        <w:rPr>
          <w:rFonts w:ascii="Verdana" w:hAnsi="Verdana" w:cs="Verdana"/>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65279C" w:rsidRDefault="00076F58">
      <w:pPr>
        <w:kinsoku w:val="0"/>
        <w:overflowPunct w:val="0"/>
        <w:autoSpaceDE/>
        <w:autoSpaceDN/>
        <w:adjustRightInd/>
        <w:spacing w:before="207" w:line="190" w:lineRule="exact"/>
        <w:jc w:val="both"/>
        <w:textAlignment w:val="baseline"/>
        <w:rPr>
          <w:rFonts w:ascii="Verdana" w:hAnsi="Verdana" w:cs="Verdana"/>
          <w:sz w:val="16"/>
          <w:szCs w:val="16"/>
          <w:lang w:val="es-ES" w:eastAsia="es-ES"/>
        </w:rPr>
      </w:pPr>
      <w:r>
        <w:rPr>
          <w:rFonts w:ascii="Verdana" w:hAnsi="Verdana" w:cs="Verdana"/>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65279C" w:rsidRDefault="00076F58">
      <w:pPr>
        <w:kinsoku w:val="0"/>
        <w:overflowPunct w:val="0"/>
        <w:autoSpaceDE/>
        <w:autoSpaceDN/>
        <w:adjustRightInd/>
        <w:spacing w:before="235" w:line="190" w:lineRule="exact"/>
        <w:jc w:val="both"/>
        <w:textAlignment w:val="baseline"/>
        <w:rPr>
          <w:rFonts w:ascii="Verdana" w:hAnsi="Verdana" w:cs="Verdana"/>
          <w:sz w:val="16"/>
          <w:szCs w:val="16"/>
          <w:lang w:val="es-ES" w:eastAsia="es-ES"/>
        </w:rPr>
      </w:pPr>
      <w:r>
        <w:rPr>
          <w:rFonts w:ascii="Verdana" w:hAnsi="Verdana" w:cs="Verdana"/>
          <w:sz w:val="16"/>
          <w:szCs w:val="16"/>
          <w:lang w:val="es-ES" w:eastAsia="es-ES"/>
        </w:rPr>
        <w:t xml:space="preserve">Una vez recibida la gestión en la que se alegue la imposibilidad de contratar un ente acreditado ante el CTP, éste contará con un plazo </w:t>
      </w:r>
      <w:r>
        <w:rPr>
          <w:rFonts w:ascii="Verdana" w:hAnsi="Verdana" w:cs="Verdana"/>
          <w:b/>
          <w:bCs/>
          <w:sz w:val="16"/>
          <w:szCs w:val="16"/>
          <w:u w:val="single"/>
          <w:lang w:val="es-ES" w:eastAsia="es-ES"/>
        </w:rPr>
        <w:t>máximo de 15 días naturales</w:t>
      </w:r>
      <w:r>
        <w:rPr>
          <w:rFonts w:ascii="Verdana" w:hAnsi="Verdana" w:cs="Verdana"/>
          <w:sz w:val="16"/>
          <w:szCs w:val="16"/>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w:t>
      </w:r>
    </w:p>
    <w:p w:rsidR="0065279C" w:rsidRDefault="00076F58">
      <w:pPr>
        <w:kinsoku w:val="0"/>
        <w:overflowPunct w:val="0"/>
        <w:autoSpaceDE/>
        <w:autoSpaceDN/>
        <w:adjustRightInd/>
        <w:spacing w:before="65" w:line="190" w:lineRule="exact"/>
        <w:textAlignment w:val="baseline"/>
        <w:rPr>
          <w:rFonts w:ascii="Verdana" w:hAnsi="Verdana" w:cs="Verdana"/>
          <w:sz w:val="16"/>
          <w:szCs w:val="16"/>
          <w:lang w:val="es-ES" w:eastAsia="es-ES"/>
        </w:rPr>
      </w:pPr>
      <w:r>
        <w:rPr>
          <w:rFonts w:ascii="Verdana" w:hAnsi="Verdana" w:cs="Verdana"/>
          <w:sz w:val="16"/>
          <w:szCs w:val="16"/>
          <w:lang w:val="es-ES" w:eastAsia="es-ES"/>
        </w:rPr>
        <w:t>procesos de la evaluación de la conformidad para el año 2017.</w:t>
      </w:r>
    </w:p>
    <w:p w:rsidR="0065279C" w:rsidRDefault="00076F58">
      <w:pPr>
        <w:kinsoku w:val="0"/>
        <w:overflowPunct w:val="0"/>
        <w:autoSpaceDE/>
        <w:autoSpaceDN/>
        <w:adjustRightInd/>
        <w:spacing w:before="334" w:line="289"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De lo anterior se determina que efectivamente, el Consejo de Transporte Público, cumple con su obligación al disponer que los concesionarios y permisionarios deben contratar organismos de Inspección para la evaluación de criterios y calificación del servicio y la realización del estudio de calidad del servicio de transporte público, y estos organismos deben estar acreditados por el Ente Costarricense de Acreditación, bajo la norma INTE — ISO/IEC 17020 en su versión vigente.</w:t>
      </w:r>
    </w:p>
    <w:p w:rsidR="0065279C" w:rsidRDefault="00076F58">
      <w:pPr>
        <w:kinsoku w:val="0"/>
        <w:overflowPunct w:val="0"/>
        <w:autoSpaceDE/>
        <w:autoSpaceDN/>
        <w:adjustRightInd/>
        <w:spacing w:before="314" w:line="275"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El Decreto Ejecutivo 28833-MOPT en sus artículos números 13 y 16 establece lo siguiente:</w:t>
      </w:r>
    </w:p>
    <w:p w:rsidR="0065279C" w:rsidRDefault="00076F58">
      <w:pPr>
        <w:kinsoku w:val="0"/>
        <w:overflowPunct w:val="0"/>
        <w:autoSpaceDE/>
        <w:autoSpaceDN/>
        <w:adjustRightInd/>
        <w:spacing w:before="311" w:line="197" w:lineRule="exact"/>
        <w:ind w:left="432" w:right="432"/>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"Artículo </w:t>
      </w:r>
      <w:r>
        <w:rPr>
          <w:rFonts w:ascii="Verdana" w:hAnsi="Verdana" w:cs="Verdana"/>
          <w:i/>
          <w:iCs/>
          <w:spacing w:val="-2"/>
          <w:sz w:val="16"/>
          <w:szCs w:val="16"/>
          <w:lang w:val="es-ES" w:eastAsia="es-ES"/>
        </w:rPr>
        <w:t>13.-Recolección y procesamiento de información. La labor de recolección y procesamiento de la información necesaria para la evaluación de los criterios y calificación del servicio se realizará</w:t>
      </w:r>
    </w:p>
    <w:p w:rsidR="0065279C" w:rsidRDefault="0065279C">
      <w:pPr>
        <w:widowControl/>
        <w:rPr>
          <w:sz w:val="24"/>
          <w:szCs w:val="24"/>
        </w:rPr>
        <w:sectPr w:rsidR="0065279C">
          <w:pgSz w:w="12307" w:h="15744"/>
          <w:pgMar w:top="980" w:right="1508" w:bottom="232" w:left="1859" w:header="720" w:footer="720" w:gutter="0"/>
          <w:cols w:space="720"/>
          <w:noEndnote/>
        </w:sectPr>
      </w:pPr>
    </w:p>
    <w:p w:rsidR="0065279C" w:rsidRDefault="00076F58">
      <w:pPr>
        <w:kinsoku w:val="0"/>
        <w:overflowPunct w:val="0"/>
        <w:autoSpaceDE/>
        <w:autoSpaceDN/>
        <w:adjustRightInd/>
        <w:spacing w:before="19" w:line="185"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según lo establece el MANUAL. Estas labores podrán ser realizadas directamente por el Consejo o bien, contratadas por éste o por los operadores de conformidad con lo dispuesto en el decreto No 27893-MOPT, Reglamento para la Contratación de Profesionales y Técnicos para la Elaboración de Dictámenes Periciales.</w:t>
      </w:r>
    </w:p>
    <w:p w:rsidR="0065279C" w:rsidRDefault="00076F58">
      <w:pPr>
        <w:kinsoku w:val="0"/>
        <w:overflowPunct w:val="0"/>
        <w:autoSpaceDE/>
        <w:autoSpaceDN/>
        <w:adjustRightInd/>
        <w:spacing w:before="209" w:line="193" w:lineRule="exact"/>
        <w:ind w:left="432"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En este último supuesto, el operador deberá notificar al Consejo de Transporte Público la realización del estudio de calidad, con una antelación de 10 días, a fin de fiscalizar la realización del estudio."</w:t>
      </w:r>
    </w:p>
    <w:p w:rsidR="0065279C" w:rsidRDefault="00076F58">
      <w:pPr>
        <w:kinsoku w:val="0"/>
        <w:overflowPunct w:val="0"/>
        <w:autoSpaceDE/>
        <w:autoSpaceDN/>
        <w:adjustRightInd/>
        <w:spacing w:before="388" w:line="193" w:lineRule="exact"/>
        <w:ind w:left="432"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"Artículo </w:t>
      </w:r>
      <w:r>
        <w:rPr>
          <w:rFonts w:ascii="Verdana" w:hAnsi="Verdana" w:cs="Verdana"/>
          <w:i/>
          <w:iCs/>
          <w:sz w:val="16"/>
          <w:szCs w:val="16"/>
          <w:lang w:val="es-ES" w:eastAsia="es-ES"/>
        </w:rPr>
        <w:t>16.-Realización del estudio. Una vez contratado el profesional que realizará el estudio, de conformidad con lo establecido en el decreto ejecutivo No 27893-MOPT, este contará con un plazo de tres meses calendario para finalizar el estudio contratado.</w:t>
      </w:r>
    </w:p>
    <w:p w:rsidR="0065279C" w:rsidRDefault="00076F58">
      <w:pPr>
        <w:kinsoku w:val="0"/>
        <w:overflowPunct w:val="0"/>
        <w:autoSpaceDE/>
        <w:autoSpaceDN/>
        <w:adjustRightInd/>
        <w:spacing w:before="202" w:line="187"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Una vez realizado el estudio, el perito deberá remitir el estudio al Consejo para su respectiva aprobación, según lo establecido en el numeral 16.</w:t>
      </w:r>
    </w:p>
    <w:p w:rsidR="0065279C" w:rsidRDefault="00076F58">
      <w:pPr>
        <w:kinsoku w:val="0"/>
        <w:overflowPunct w:val="0"/>
        <w:autoSpaceDE/>
        <w:autoSpaceDN/>
        <w:adjustRightInd/>
        <w:spacing w:before="197" w:line="193" w:lineRule="exact"/>
        <w:ind w:left="432" w:right="432"/>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Para tales efectos, el Consejo contará con un plazo de 30 días naturales contados a partir de la recepción del estudio, para aprobar, improbar, o bien ordenar la elaboración de un nuevo estudio."</w:t>
      </w:r>
    </w:p>
    <w:p w:rsidR="0065279C" w:rsidRDefault="00076F58">
      <w:pPr>
        <w:kinsoku w:val="0"/>
        <w:overflowPunct w:val="0"/>
        <w:autoSpaceDE/>
        <w:autoSpaceDN/>
        <w:adjustRightInd/>
        <w:spacing w:before="209" w:line="28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Ley del Sistema Nacional para la Calidad, número 8279, determina en su artículo 21 lo siguiente:</w:t>
      </w:r>
    </w:p>
    <w:p w:rsidR="0065279C" w:rsidRDefault="00076F58">
      <w:pPr>
        <w:kinsoku w:val="0"/>
        <w:overflowPunct w:val="0"/>
        <w:autoSpaceDE/>
        <w:autoSpaceDN/>
        <w:adjustRightInd/>
        <w:spacing w:before="194" w:line="193" w:lineRule="exact"/>
        <w:ind w:left="432"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"Artículo </w:t>
      </w:r>
      <w:proofErr w:type="gramStart"/>
      <w:r>
        <w:rPr>
          <w:rFonts w:ascii="Verdana" w:hAnsi="Verdana" w:cs="Verdana"/>
          <w:b/>
          <w:bCs/>
          <w:i/>
          <w:iCs/>
          <w:sz w:val="16"/>
          <w:szCs w:val="16"/>
          <w:lang w:val="es-ES" w:eastAsia="es-ES"/>
        </w:rPr>
        <w:t>21.—</w:t>
      </w:r>
      <w:proofErr w:type="gramEnd"/>
      <w:r>
        <w:rPr>
          <w:rFonts w:ascii="Verdana" w:hAnsi="Verdana" w:cs="Verdana"/>
          <w:b/>
          <w:bCs/>
          <w:i/>
          <w:iCs/>
          <w:sz w:val="16"/>
          <w:szCs w:val="16"/>
          <w:lang w:val="es-ES" w:eastAsia="es-ES"/>
        </w:rPr>
        <w:t xml:space="preserve">Funciones. </w:t>
      </w:r>
      <w:r>
        <w:rPr>
          <w:rFonts w:ascii="Verdana" w:hAnsi="Verdana" w:cs="Verdana"/>
          <w:i/>
          <w:iCs/>
          <w:sz w:val="16"/>
          <w:szCs w:val="16"/>
          <w:lang w:val="es-ES" w:eastAsia="es-ES"/>
        </w:rPr>
        <w:t>El ECA será el único competente para realizar los procedimientos de acreditación en lo que respecta a laboratorios de ensayo y calibración, entes de inspección y control, entes de certificación y otros afines. Tendrá las siguientes funciones:</w:t>
      </w:r>
    </w:p>
    <w:p w:rsidR="0065279C" w:rsidRDefault="00076F58">
      <w:pPr>
        <w:numPr>
          <w:ilvl w:val="0"/>
          <w:numId w:val="11"/>
        </w:numPr>
        <w:kinsoku w:val="0"/>
        <w:overflowPunct w:val="0"/>
        <w:autoSpaceDE/>
        <w:autoSpaceDN/>
        <w:adjustRightInd/>
        <w:spacing w:before="9" w:line="193"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Acreditar previo cumplimiento de los requisitos, conforme a las buenas prácticas internacionales.</w:t>
      </w:r>
    </w:p>
    <w:p w:rsidR="0065279C" w:rsidRDefault="00076F58">
      <w:pPr>
        <w:numPr>
          <w:ilvl w:val="0"/>
          <w:numId w:val="11"/>
        </w:numPr>
        <w:kinsoku w:val="0"/>
        <w:overflowPunct w:val="0"/>
        <w:autoSpaceDE/>
        <w:autoSpaceDN/>
        <w:adjustRightInd/>
        <w:spacing w:line="192"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Estimular la acreditación en todos los ámbitos tecnológicos y científicos del país.</w:t>
      </w:r>
    </w:p>
    <w:p w:rsidR="0065279C" w:rsidRDefault="00076F58">
      <w:pPr>
        <w:numPr>
          <w:ilvl w:val="0"/>
          <w:numId w:val="11"/>
        </w:numPr>
        <w:kinsoku w:val="0"/>
        <w:overflowPunct w:val="0"/>
        <w:autoSpaceDE/>
        <w:autoSpaceDN/>
        <w:adjustRightInd/>
        <w:spacing w:before="1" w:line="193"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Garantizar la competencia técnica y credibilidad de los entes acreditados. Para ello, podrá realizar las investigaciones y ordenar las medidas cautelares que considere necesarias, incluso la suspensión temporal de la acreditación.</w:t>
      </w:r>
    </w:p>
    <w:p w:rsidR="0065279C" w:rsidRDefault="00076F58">
      <w:pPr>
        <w:numPr>
          <w:ilvl w:val="0"/>
          <w:numId w:val="11"/>
        </w:numPr>
        <w:kinsoku w:val="0"/>
        <w:overflowPunct w:val="0"/>
        <w:autoSpaceDE/>
        <w:autoSpaceDN/>
        <w:adjustRightInd/>
        <w:spacing w:before="3" w:line="193"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Resolver, previo cumplimiento del debido proceso, las denuncias que, en materia de su competencia, se presenten contra los entes acreditados.</w:t>
      </w:r>
    </w:p>
    <w:p w:rsidR="0065279C" w:rsidRDefault="00076F58">
      <w:pPr>
        <w:numPr>
          <w:ilvl w:val="0"/>
          <w:numId w:val="11"/>
        </w:numPr>
        <w:kinsoku w:val="0"/>
        <w:overflowPunct w:val="0"/>
        <w:autoSpaceDE/>
        <w:autoSpaceDN/>
        <w:adjustRightInd/>
        <w:spacing w:before="2" w:line="193"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Promover la suscripción de convenios de reconocimiento mutuo y otros instrumentos de entendimiento que propicien el reconocimiento ele la acreditación otorgada por él ante órganos de acreditación similares.</w:t>
      </w:r>
    </w:p>
    <w:p w:rsidR="0065279C" w:rsidRDefault="00076F58">
      <w:pPr>
        <w:numPr>
          <w:ilvl w:val="0"/>
          <w:numId w:val="11"/>
        </w:numPr>
        <w:kinsoku w:val="0"/>
        <w:overflowPunct w:val="0"/>
        <w:autoSpaceDE/>
        <w:autoSpaceDN/>
        <w:adjustRightInd/>
        <w:spacing w:before="9" w:line="193"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Participar en las instancias internacionales de acreditación."</w:t>
      </w:r>
    </w:p>
    <w:p w:rsidR="0065279C" w:rsidRDefault="00076F58">
      <w:pPr>
        <w:kinsoku w:val="0"/>
        <w:overflowPunct w:val="0"/>
        <w:autoSpaceDE/>
        <w:autoSpaceDN/>
        <w:adjustRightInd/>
        <w:spacing w:before="257" w:line="293"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De lo dicho hasta aquí se tiene que para este Tribunal Administrativo de Transporte, en cuanto al primer alegato de la recurrente, contrario a lo indicado por ésta el Consejo de Transporte Público ha actuado correctamente y dentro de lo determinado por la Ley especial y no puede disponer cosa distinta, por cuanto estaría incumpliendo la norma en el sentido que la fiscalización de los procedimientos de evaluación de la calidad, deben darse a través de entes acreditados por el </w:t>
      </w:r>
      <w:r>
        <w:rPr>
          <w:rFonts w:ascii="Verdana" w:hAnsi="Verdana" w:cs="Verdana"/>
          <w:b/>
          <w:bCs/>
          <w:sz w:val="24"/>
          <w:szCs w:val="24"/>
          <w:lang w:val="es-ES" w:eastAsia="es-ES"/>
        </w:rPr>
        <w:t xml:space="preserve">ECA, </w:t>
      </w:r>
      <w:r>
        <w:rPr>
          <w:rFonts w:ascii="Verdana" w:hAnsi="Verdana" w:cs="Verdana"/>
          <w:sz w:val="24"/>
          <w:szCs w:val="24"/>
          <w:lang w:val="es-ES" w:eastAsia="es-ES"/>
        </w:rPr>
        <w:t>así mismo deja el CTP abierta la posibilidad de que en casos específicos y mediante los elementos probatorios del caso las empresas puedan contratar con organismos no acreditados.</w:t>
      </w:r>
    </w:p>
    <w:p w:rsidR="0065279C" w:rsidRDefault="00076F58">
      <w:pPr>
        <w:kinsoku w:val="0"/>
        <w:overflowPunct w:val="0"/>
        <w:autoSpaceDE/>
        <w:autoSpaceDN/>
        <w:adjustRightInd/>
        <w:spacing w:before="314" w:line="293"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compartimos el argumento de la recurrente de que los procesos de evaluación de la calidad de las empresas de transporte remunerado de personas, deban darse por organismos con especialización en Transporte Público y el </w:t>
      </w:r>
      <w:r>
        <w:rPr>
          <w:rFonts w:ascii="Verdana" w:hAnsi="Verdana" w:cs="Verdana"/>
          <w:b/>
          <w:bCs/>
          <w:sz w:val="24"/>
          <w:szCs w:val="24"/>
          <w:lang w:val="es-ES" w:eastAsia="es-ES"/>
        </w:rPr>
        <w:t xml:space="preserve">ECA </w:t>
      </w:r>
      <w:r>
        <w:rPr>
          <w:rFonts w:ascii="Verdana" w:hAnsi="Verdana" w:cs="Verdana"/>
          <w:sz w:val="24"/>
          <w:szCs w:val="24"/>
          <w:lang w:val="es-ES" w:eastAsia="es-ES"/>
        </w:rPr>
        <w:t xml:space="preserve">carece de tales acreditaciones en este momento. Es claro que </w:t>
      </w:r>
      <w:r w:rsidR="00E415E4">
        <w:rPr>
          <w:rFonts w:ascii="Verdana" w:hAnsi="Verdana" w:cs="Verdana"/>
          <w:sz w:val="24"/>
          <w:szCs w:val="24"/>
          <w:lang w:val="es-ES" w:eastAsia="es-ES"/>
        </w:rPr>
        <w:t>las fiscalizaciones de los procesos de evaluación de la calidad no tienen</w:t>
      </w:r>
      <w:r>
        <w:rPr>
          <w:rFonts w:ascii="Verdana" w:hAnsi="Verdana" w:cs="Verdana"/>
          <w:sz w:val="24"/>
          <w:szCs w:val="24"/>
          <w:lang w:val="es-ES" w:eastAsia="es-ES"/>
        </w:rPr>
        <w:t xml:space="preserve"> que realizarse por organismos con especialidad necesaria en Transporte Público, pues lo que se va a valorar es que los instrumentos determinados para evaluar aquella, sean aplicados adecuadamente y para ello si hay organismos especializados en el </w:t>
      </w:r>
      <w:r>
        <w:rPr>
          <w:rFonts w:ascii="Verdana" w:hAnsi="Verdana" w:cs="Verdana"/>
          <w:b/>
          <w:bCs/>
          <w:sz w:val="24"/>
          <w:szCs w:val="24"/>
          <w:lang w:val="es-ES" w:eastAsia="es-ES"/>
        </w:rPr>
        <w:t xml:space="preserve">ECA </w:t>
      </w:r>
      <w:r>
        <w:rPr>
          <w:rFonts w:ascii="Verdana" w:hAnsi="Verdana" w:cs="Verdana"/>
          <w:sz w:val="24"/>
          <w:szCs w:val="24"/>
          <w:lang w:val="es-ES" w:eastAsia="es-ES"/>
        </w:rPr>
        <w:t xml:space="preserve">y así lo dejó claro este órgano en su </w:t>
      </w:r>
      <w:r>
        <w:rPr>
          <w:rFonts w:ascii="Verdana" w:hAnsi="Verdana" w:cs="Verdana"/>
          <w:b/>
          <w:bCs/>
          <w:sz w:val="24"/>
          <w:szCs w:val="24"/>
          <w:lang w:val="es-ES" w:eastAsia="es-ES"/>
        </w:rPr>
        <w:t xml:space="preserve">oficio ECA-PJD-OF-006-2017 del 11 de agosto de 2017 </w:t>
      </w:r>
      <w:r>
        <w:rPr>
          <w:rFonts w:ascii="Verdana" w:hAnsi="Verdana" w:cs="Verdana"/>
          <w:sz w:val="24"/>
          <w:szCs w:val="24"/>
          <w:lang w:val="es-ES" w:eastAsia="es-ES"/>
        </w:rPr>
        <w:t>en el que su Junta Directiva deja sin efecto anteriores oficios de su</w:t>
      </w:r>
    </w:p>
    <w:p w:rsidR="0065279C" w:rsidRDefault="00076F58">
      <w:pPr>
        <w:kinsoku w:val="0"/>
        <w:overflowPunct w:val="0"/>
        <w:autoSpaceDE/>
        <w:autoSpaceDN/>
        <w:adjustRightInd/>
        <w:spacing w:before="91" w:line="220" w:lineRule="exact"/>
        <w:jc w:val="right"/>
        <w:textAlignment w:val="baseline"/>
        <w:rPr>
          <w:sz w:val="21"/>
          <w:szCs w:val="21"/>
          <w:lang w:val="es-ES" w:eastAsia="es-ES"/>
        </w:rPr>
      </w:pPr>
      <w:r>
        <w:rPr>
          <w:sz w:val="21"/>
          <w:szCs w:val="21"/>
          <w:lang w:val="es-ES" w:eastAsia="es-ES"/>
        </w:rPr>
        <w:t>Res-TAT-3314-17 14</w:t>
      </w:r>
    </w:p>
    <w:p w:rsidR="0065279C" w:rsidRDefault="0065279C">
      <w:pPr>
        <w:widowControl/>
        <w:rPr>
          <w:sz w:val="24"/>
          <w:szCs w:val="24"/>
        </w:rPr>
        <w:sectPr w:rsidR="0065279C">
          <w:pgSz w:w="12307" w:h="15744"/>
          <w:pgMar w:top="780" w:right="1753" w:bottom="348" w:left="1614" w:header="720" w:footer="720" w:gutter="0"/>
          <w:cols w:space="720"/>
          <w:noEndnote/>
        </w:sectPr>
      </w:pPr>
    </w:p>
    <w:p w:rsidR="0065279C" w:rsidRPr="00E415E4" w:rsidRDefault="00076F58" w:rsidP="00E415E4">
      <w:pPr>
        <w:kinsoku w:val="0"/>
        <w:overflowPunct w:val="0"/>
        <w:autoSpaceDE/>
        <w:autoSpaceDN/>
        <w:adjustRightInd/>
        <w:spacing w:before="20" w:line="289" w:lineRule="exact"/>
        <w:ind w:left="709" w:right="199"/>
        <w:jc w:val="both"/>
        <w:textAlignment w:val="baseline"/>
        <w:rPr>
          <w:rFonts w:ascii="Verdana" w:hAnsi="Verdana" w:cs="Tahoma"/>
          <w:spacing w:val="15"/>
          <w:sz w:val="24"/>
          <w:szCs w:val="24"/>
          <w:lang w:val="es-ES" w:eastAsia="es-ES"/>
        </w:rPr>
      </w:pPr>
      <w:r w:rsidRPr="00E415E4">
        <w:rPr>
          <w:rFonts w:ascii="Verdana" w:hAnsi="Verdana" w:cs="Tahoma"/>
          <w:spacing w:val="15"/>
          <w:sz w:val="24"/>
          <w:szCs w:val="24"/>
          <w:lang w:val="es-ES" w:eastAsia="es-ES"/>
        </w:rPr>
        <w:lastRenderedPageBreak/>
        <w:t xml:space="preserve">Gerente y reafirma la potestad exclusiva dada por la Ley al </w:t>
      </w:r>
      <w:r w:rsidRPr="00E415E4">
        <w:rPr>
          <w:rFonts w:ascii="Verdana" w:hAnsi="Verdana" w:cs="Tahoma"/>
          <w:b/>
          <w:bCs/>
          <w:spacing w:val="15"/>
          <w:sz w:val="24"/>
          <w:szCs w:val="24"/>
          <w:lang w:val="es-ES" w:eastAsia="es-ES"/>
        </w:rPr>
        <w:t xml:space="preserve">ECA </w:t>
      </w:r>
      <w:r w:rsidRPr="00E415E4">
        <w:rPr>
          <w:rFonts w:ascii="Verdana" w:hAnsi="Verdana" w:cs="Tahoma"/>
          <w:spacing w:val="15"/>
          <w:sz w:val="24"/>
          <w:szCs w:val="24"/>
          <w:lang w:val="es-ES" w:eastAsia="es-ES"/>
        </w:rPr>
        <w:t>en la materia de marras y la potestad de sus órganos acreditados en la realización de las actividades aquí analizadas.</w:t>
      </w:r>
    </w:p>
    <w:p w:rsidR="0065279C" w:rsidRPr="00E415E4" w:rsidRDefault="00076F58" w:rsidP="00E415E4">
      <w:pPr>
        <w:kinsoku w:val="0"/>
        <w:overflowPunct w:val="0"/>
        <w:autoSpaceDE/>
        <w:autoSpaceDN/>
        <w:adjustRightInd/>
        <w:spacing w:before="306" w:line="289" w:lineRule="exact"/>
        <w:ind w:left="709" w:right="199"/>
        <w:jc w:val="both"/>
        <w:textAlignment w:val="baseline"/>
        <w:rPr>
          <w:rFonts w:ascii="Verdana" w:hAnsi="Verdana" w:cs="Tahoma"/>
          <w:spacing w:val="16"/>
          <w:sz w:val="24"/>
          <w:szCs w:val="24"/>
          <w:lang w:val="es-ES" w:eastAsia="es-ES"/>
        </w:rPr>
      </w:pPr>
      <w:r w:rsidRPr="00E415E4">
        <w:rPr>
          <w:rFonts w:ascii="Verdana" w:hAnsi="Verdana" w:cs="Tahoma"/>
          <w:spacing w:val="16"/>
          <w:sz w:val="24"/>
          <w:szCs w:val="24"/>
          <w:lang w:val="es-ES" w:eastAsia="es-ES"/>
        </w:rPr>
        <w:t>En cuanto al segundo argumento del recurrente en el sentido de que el acuerdo es nulo pues no indica nada de los costos de los estudios y como deben reflejarse en las tarifas, este Tribunal debe desestimar tal argumentación dado que la potestad exclusiva en materia de tarifas y reconocimiento de rubros de las empresas en estas descansa en la Autoridad Reguladora de los Servicios Públicos ARESEP.</w:t>
      </w:r>
    </w:p>
    <w:p w:rsidR="0065279C" w:rsidRPr="00E415E4" w:rsidRDefault="00076F58" w:rsidP="00E415E4">
      <w:pPr>
        <w:kinsoku w:val="0"/>
        <w:overflowPunct w:val="0"/>
        <w:autoSpaceDE/>
        <w:autoSpaceDN/>
        <w:adjustRightInd/>
        <w:spacing w:before="305" w:line="289" w:lineRule="exact"/>
        <w:ind w:left="709" w:right="199"/>
        <w:jc w:val="both"/>
        <w:textAlignment w:val="baseline"/>
        <w:rPr>
          <w:rFonts w:ascii="Verdana" w:hAnsi="Verdana" w:cs="Tahoma"/>
          <w:spacing w:val="16"/>
          <w:sz w:val="24"/>
          <w:szCs w:val="24"/>
          <w:lang w:val="es-ES" w:eastAsia="es-ES"/>
        </w:rPr>
      </w:pPr>
      <w:r w:rsidRPr="00E415E4">
        <w:rPr>
          <w:rFonts w:ascii="Verdana" w:hAnsi="Verdana" w:cs="Tahoma"/>
          <w:spacing w:val="16"/>
          <w:sz w:val="24"/>
          <w:szCs w:val="24"/>
          <w:lang w:val="es-ES" w:eastAsia="es-ES"/>
        </w:rPr>
        <w:t>La Ley de la Autoridad Reguladora de los Servicios Públicos (ARESEP) número 7593 dispone lo siguiente:</w:t>
      </w:r>
    </w:p>
    <w:p w:rsidR="0065279C" w:rsidRDefault="00076F58" w:rsidP="00E415E4">
      <w:pPr>
        <w:kinsoku w:val="0"/>
        <w:overflowPunct w:val="0"/>
        <w:autoSpaceDE/>
        <w:autoSpaceDN/>
        <w:adjustRightInd/>
        <w:spacing w:before="311" w:line="197" w:lineRule="exact"/>
        <w:ind w:left="709" w:right="199"/>
        <w:textAlignment w:val="baseline"/>
        <w:rPr>
          <w:rFonts w:ascii="Verdana" w:hAnsi="Verdana" w:cs="Verdana"/>
          <w:b/>
          <w:bCs/>
          <w:i/>
          <w:iCs/>
          <w:spacing w:val="-2"/>
          <w:sz w:val="16"/>
          <w:szCs w:val="16"/>
          <w:lang w:val="es-ES" w:eastAsia="es-ES"/>
        </w:rPr>
      </w:pPr>
      <w:r>
        <w:rPr>
          <w:rFonts w:ascii="Verdana" w:hAnsi="Verdana" w:cs="Verdana"/>
          <w:b/>
          <w:bCs/>
          <w:i/>
          <w:iCs/>
          <w:spacing w:val="-2"/>
          <w:sz w:val="16"/>
          <w:szCs w:val="16"/>
          <w:lang w:val="es-ES" w:eastAsia="es-ES"/>
        </w:rPr>
        <w:t>"Artículo 5.- Funciones</w:t>
      </w:r>
    </w:p>
    <w:p w:rsidR="0065279C" w:rsidRDefault="00076F58" w:rsidP="00E415E4">
      <w:pPr>
        <w:kinsoku w:val="0"/>
        <w:overflowPunct w:val="0"/>
        <w:autoSpaceDE/>
        <w:autoSpaceDN/>
        <w:adjustRightInd/>
        <w:spacing w:before="299" w:line="191" w:lineRule="exact"/>
        <w:ind w:left="709" w:right="199"/>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los servicios públicos definidos en este artículo, la Autoridad Reguladora fijará precios y tarifas; además, velará por el cumplimiento de las normas de calidad, cantidad, confiabilidad, continuidad, oportunidad y prestación óptima, según el artículo 25 de esta ley. Los servicios públicos antes mencionados son: (...)f) Cualquier medio de transporte público remunerado de personas, salvo el aéreo."</w:t>
      </w:r>
    </w:p>
    <w:p w:rsidR="0065279C" w:rsidRPr="00E415E4" w:rsidRDefault="00076F58" w:rsidP="00E415E4">
      <w:pPr>
        <w:kinsoku w:val="0"/>
        <w:overflowPunct w:val="0"/>
        <w:autoSpaceDE/>
        <w:autoSpaceDN/>
        <w:adjustRightInd/>
        <w:spacing w:before="298" w:line="289" w:lineRule="exact"/>
        <w:ind w:left="709" w:right="199"/>
        <w:jc w:val="both"/>
        <w:textAlignment w:val="baseline"/>
        <w:rPr>
          <w:rFonts w:ascii="Verdana" w:hAnsi="Verdana" w:cs="Tahoma"/>
          <w:spacing w:val="16"/>
          <w:sz w:val="24"/>
          <w:szCs w:val="24"/>
          <w:lang w:val="es-ES" w:eastAsia="es-ES"/>
        </w:rPr>
      </w:pPr>
      <w:r w:rsidRPr="00E415E4">
        <w:rPr>
          <w:rFonts w:ascii="Verdana" w:hAnsi="Verdana" w:cs="Tahoma"/>
          <w:spacing w:val="16"/>
          <w:sz w:val="24"/>
          <w:szCs w:val="24"/>
          <w:lang w:val="es-ES" w:eastAsia="es-ES"/>
        </w:rPr>
        <w:t>Por lo indicado debe desestimarse el presente recurso por cuanto considera este Tribunal Administrativo de Transporte que en la especie no existe mérito alguno para proceder con la anulación del acuerdo impugnado.</w:t>
      </w:r>
    </w:p>
    <w:p w:rsidR="0065279C" w:rsidRDefault="00076F58" w:rsidP="00E415E4">
      <w:pPr>
        <w:kinsoku w:val="0"/>
        <w:overflowPunct w:val="0"/>
        <w:autoSpaceDE/>
        <w:autoSpaceDN/>
        <w:adjustRightInd/>
        <w:spacing w:before="308" w:line="288" w:lineRule="exact"/>
        <w:ind w:left="709" w:right="199"/>
        <w:jc w:val="center"/>
        <w:textAlignment w:val="baseline"/>
        <w:rPr>
          <w:rFonts w:ascii="Tahoma" w:hAnsi="Tahoma" w:cs="Tahoma"/>
          <w:b/>
          <w:bCs/>
          <w:spacing w:val="13"/>
          <w:sz w:val="24"/>
          <w:szCs w:val="24"/>
          <w:lang w:val="es-ES" w:eastAsia="es-ES"/>
        </w:rPr>
      </w:pPr>
      <w:r>
        <w:rPr>
          <w:rFonts w:ascii="Tahoma" w:hAnsi="Tahoma" w:cs="Tahoma"/>
          <w:b/>
          <w:bCs/>
          <w:spacing w:val="13"/>
          <w:sz w:val="24"/>
          <w:szCs w:val="24"/>
          <w:lang w:val="es-ES" w:eastAsia="es-ES"/>
        </w:rPr>
        <w:t>POR TANTO</w:t>
      </w:r>
    </w:p>
    <w:p w:rsidR="0065279C" w:rsidRDefault="00076F58" w:rsidP="00E415E4">
      <w:pPr>
        <w:numPr>
          <w:ilvl w:val="0"/>
          <w:numId w:val="12"/>
        </w:numPr>
        <w:kinsoku w:val="0"/>
        <w:overflowPunct w:val="0"/>
        <w:autoSpaceDE/>
        <w:autoSpaceDN/>
        <w:adjustRightInd/>
        <w:spacing w:before="297" w:line="289" w:lineRule="exact"/>
        <w:ind w:left="709" w:right="199"/>
        <w:jc w:val="both"/>
        <w:textAlignment w:val="baseline"/>
        <w:rPr>
          <w:rFonts w:ascii="Tahoma" w:hAnsi="Tahoma" w:cs="Tahoma"/>
          <w:b/>
          <w:bCs/>
          <w:spacing w:val="13"/>
          <w:sz w:val="24"/>
          <w:szCs w:val="24"/>
          <w:lang w:val="es-ES" w:eastAsia="es-ES"/>
        </w:rPr>
      </w:pPr>
      <w:r>
        <w:rPr>
          <w:rFonts w:ascii="Tahoma" w:hAnsi="Tahoma" w:cs="Tahoma"/>
          <w:spacing w:val="13"/>
          <w:sz w:val="24"/>
          <w:szCs w:val="24"/>
          <w:lang w:val="es-ES" w:eastAsia="es-ES"/>
        </w:rPr>
        <w:t xml:space="preserve">Se declara sin lugar el </w:t>
      </w:r>
      <w:r>
        <w:rPr>
          <w:rFonts w:ascii="Tahoma" w:hAnsi="Tahoma" w:cs="Tahoma"/>
          <w:b/>
          <w:bCs/>
          <w:spacing w:val="13"/>
          <w:sz w:val="24"/>
          <w:szCs w:val="24"/>
          <w:lang w:val="es-ES" w:eastAsia="es-ES"/>
        </w:rPr>
        <w:t xml:space="preserve">RECURSOS </w:t>
      </w:r>
      <w:r>
        <w:rPr>
          <w:rFonts w:ascii="Verdana" w:hAnsi="Verdana" w:cs="Verdana"/>
          <w:b/>
          <w:bCs/>
          <w:spacing w:val="13"/>
          <w:sz w:val="19"/>
          <w:szCs w:val="19"/>
          <w:lang w:val="es-ES" w:eastAsia="es-ES"/>
        </w:rPr>
        <w:t xml:space="preserve">DE APELACIÓN, </w:t>
      </w:r>
      <w:r>
        <w:rPr>
          <w:rFonts w:ascii="Tahoma" w:hAnsi="Tahoma" w:cs="Tahoma"/>
          <w:spacing w:val="13"/>
          <w:sz w:val="24"/>
          <w:szCs w:val="24"/>
          <w:lang w:val="es-ES" w:eastAsia="es-ES"/>
        </w:rPr>
        <w:t xml:space="preserve">interpuesto por la empresa </w:t>
      </w:r>
      <w:r>
        <w:rPr>
          <w:rFonts w:ascii="Tahoma" w:hAnsi="Tahoma" w:cs="Tahoma"/>
          <w:b/>
          <w:bCs/>
          <w:spacing w:val="13"/>
          <w:sz w:val="24"/>
          <w:szCs w:val="24"/>
          <w:lang w:val="es-ES" w:eastAsia="es-ES"/>
        </w:rPr>
        <w:t>R</w:t>
      </w:r>
      <w:r w:rsidR="00C21D06">
        <w:rPr>
          <w:rFonts w:ascii="Tahoma" w:hAnsi="Tahoma" w:cs="Tahoma"/>
          <w:b/>
          <w:bCs/>
          <w:spacing w:val="13"/>
          <w:sz w:val="24"/>
          <w:szCs w:val="24"/>
          <w:lang w:val="es-ES" w:eastAsia="es-ES"/>
        </w:rPr>
        <w:t>.D.C.</w:t>
      </w:r>
      <w:r>
        <w:rPr>
          <w:rFonts w:ascii="Tahoma" w:hAnsi="Tahoma" w:cs="Tahoma"/>
          <w:b/>
          <w:bCs/>
          <w:spacing w:val="13"/>
          <w:sz w:val="24"/>
          <w:szCs w:val="24"/>
          <w:lang w:val="es-ES" w:eastAsia="es-ES"/>
        </w:rPr>
        <w:t xml:space="preserve">S.A. cédula jurídica número </w:t>
      </w:r>
      <w:r w:rsidR="00C21D06">
        <w:rPr>
          <w:rFonts w:ascii="Tahoma" w:hAnsi="Tahoma" w:cs="Tahoma"/>
          <w:b/>
          <w:bCs/>
          <w:spacing w:val="13"/>
          <w:sz w:val="24"/>
          <w:szCs w:val="24"/>
          <w:lang w:val="es-ES" w:eastAsia="es-ES"/>
        </w:rPr>
        <w:t>…</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 xml:space="preserve">por medio de su apoderado Generalísimo sin límite de Suma señor </w:t>
      </w:r>
      <w:r>
        <w:rPr>
          <w:rFonts w:ascii="Tahoma" w:hAnsi="Tahoma" w:cs="Tahoma"/>
          <w:b/>
          <w:bCs/>
          <w:spacing w:val="13"/>
          <w:sz w:val="24"/>
          <w:szCs w:val="24"/>
          <w:lang w:val="es-ES" w:eastAsia="es-ES"/>
        </w:rPr>
        <w:t>J</w:t>
      </w:r>
      <w:r w:rsidR="00C21D06">
        <w:rPr>
          <w:rFonts w:ascii="Tahoma" w:hAnsi="Tahoma" w:cs="Tahoma"/>
          <w:b/>
          <w:bCs/>
          <w:spacing w:val="13"/>
          <w:sz w:val="24"/>
          <w:szCs w:val="24"/>
          <w:lang w:val="es-ES" w:eastAsia="es-ES"/>
        </w:rPr>
        <w:t>.A.C.S.</w:t>
      </w:r>
      <w:r>
        <w:rPr>
          <w:rFonts w:ascii="Tahoma" w:hAnsi="Tahoma" w:cs="Tahoma"/>
          <w:b/>
          <w:bCs/>
          <w:spacing w:val="13"/>
          <w:sz w:val="24"/>
          <w:szCs w:val="24"/>
          <w:lang w:val="es-ES" w:eastAsia="es-ES"/>
        </w:rPr>
        <w:t xml:space="preserve">, cédula de identidad número </w:t>
      </w:r>
      <w:r w:rsidR="00C21D06">
        <w:rPr>
          <w:rFonts w:ascii="Tahoma" w:hAnsi="Tahoma" w:cs="Tahoma"/>
          <w:b/>
          <w:bCs/>
          <w:spacing w:val="13"/>
          <w:sz w:val="24"/>
          <w:szCs w:val="24"/>
          <w:lang w:val="es-ES" w:eastAsia="es-ES"/>
        </w:rPr>
        <w:t>…,</w:t>
      </w:r>
      <w:r>
        <w:rPr>
          <w:rFonts w:ascii="Tahoma" w:hAnsi="Tahoma" w:cs="Tahoma"/>
          <w:spacing w:val="13"/>
          <w:sz w:val="24"/>
          <w:szCs w:val="24"/>
          <w:lang w:val="es-ES" w:eastAsia="es-ES"/>
        </w:rPr>
        <w:t xml:space="preserve"> contra </w:t>
      </w:r>
      <w:r>
        <w:rPr>
          <w:rFonts w:ascii="Tahoma" w:hAnsi="Tahoma" w:cs="Tahoma"/>
          <w:b/>
          <w:bCs/>
          <w:spacing w:val="13"/>
          <w:sz w:val="24"/>
          <w:szCs w:val="24"/>
          <w:lang w:val="es-ES" w:eastAsia="es-ES"/>
        </w:rPr>
        <w:t>el artículo 7.18 de la Sesión Ordinaria 23-2017 de 7 de junio de 2017, celebrado por la Junta Directiva del Consejo de Transporte Público.</w:t>
      </w:r>
    </w:p>
    <w:p w:rsidR="0065279C" w:rsidRPr="00E415E4" w:rsidRDefault="00076F58" w:rsidP="00E415E4">
      <w:pPr>
        <w:numPr>
          <w:ilvl w:val="0"/>
          <w:numId w:val="12"/>
        </w:numPr>
        <w:kinsoku w:val="0"/>
        <w:overflowPunct w:val="0"/>
        <w:autoSpaceDE/>
        <w:autoSpaceDN/>
        <w:adjustRightInd/>
        <w:spacing w:before="294" w:after="19" w:line="311" w:lineRule="exact"/>
        <w:ind w:left="709" w:right="199"/>
        <w:jc w:val="both"/>
        <w:textAlignment w:val="baseline"/>
        <w:rPr>
          <w:rFonts w:ascii="Tahoma" w:hAnsi="Tahoma" w:cs="Tahoma"/>
          <w:sz w:val="24"/>
          <w:szCs w:val="24"/>
          <w:lang w:eastAsia="en-US"/>
        </w:rPr>
      </w:pPr>
      <w:r>
        <w:rPr>
          <w:rFonts w:ascii="Tahoma" w:hAnsi="Tahoma" w:cs="Tahoma"/>
          <w:spacing w:val="8"/>
          <w:sz w:val="24"/>
          <w:szCs w:val="24"/>
          <w:lang w:val="es-ES" w:eastAsia="es-ES"/>
        </w:rPr>
        <w:t xml:space="preserve">De conformidad con el artículo 22, inciso c), de la citada Ley 7969, la presente resolución no tiene ulterior recurso por lo que, </w:t>
      </w:r>
      <w:r>
        <w:rPr>
          <w:rFonts w:ascii="Tahoma" w:hAnsi="Tahoma" w:cs="Tahoma"/>
          <w:b/>
          <w:bCs/>
          <w:spacing w:val="8"/>
          <w:sz w:val="24"/>
          <w:szCs w:val="24"/>
          <w:lang w:val="es-ES" w:eastAsia="es-ES"/>
        </w:rPr>
        <w:t xml:space="preserve">se </w:t>
      </w:r>
      <w:r>
        <w:rPr>
          <w:rFonts w:ascii="Verdana" w:hAnsi="Verdana" w:cs="Verdana"/>
          <w:i/>
          <w:iCs/>
          <w:spacing w:val="8"/>
          <w:sz w:val="24"/>
          <w:szCs w:val="24"/>
          <w:lang w:val="es-ES" w:eastAsia="es-ES"/>
        </w:rPr>
        <w:t xml:space="preserve">tiene por agotada la vía administrativa. </w:t>
      </w:r>
      <w:proofErr w:type="gramStart"/>
      <w:r>
        <w:rPr>
          <w:rFonts w:ascii="Tahoma" w:hAnsi="Tahoma" w:cs="Tahoma"/>
          <w:b/>
          <w:bCs/>
          <w:spacing w:val="8"/>
          <w:sz w:val="24"/>
          <w:szCs w:val="24"/>
          <w:lang w:val="es-ES" w:eastAsia="es-ES"/>
        </w:rPr>
        <w:t>NOTIFIQUESE.</w:t>
      </w:r>
      <w:r>
        <w:rPr>
          <w:rFonts w:ascii="Tahoma" w:hAnsi="Tahoma" w:cs="Tahoma"/>
          <w:b/>
          <w:bCs/>
          <w:spacing w:val="8"/>
          <w:sz w:val="24"/>
          <w:szCs w:val="24"/>
          <w:lang w:val="es-ES" w:eastAsia="es-ES"/>
        </w:rPr>
        <w:noBreakHyphen/>
      </w:r>
      <w:proofErr w:type="gramEnd"/>
    </w:p>
    <w:p w:rsidR="00E415E4" w:rsidRDefault="00E415E4" w:rsidP="00E415E4">
      <w:pPr>
        <w:kinsoku w:val="0"/>
        <w:overflowPunct w:val="0"/>
        <w:autoSpaceDE/>
        <w:autoSpaceDN/>
        <w:adjustRightInd/>
        <w:spacing w:after="374" w:line="320" w:lineRule="exact"/>
        <w:ind w:left="1080" w:right="72"/>
        <w:jc w:val="center"/>
        <w:textAlignment w:val="baseline"/>
        <w:rPr>
          <w:rStyle w:val="CharacterStyle1"/>
          <w:i/>
          <w:iCs/>
          <w:spacing w:val="5"/>
          <w:sz w:val="26"/>
          <w:szCs w:val="26"/>
        </w:rPr>
      </w:pPr>
    </w:p>
    <w:p w:rsidR="00E415E4" w:rsidRPr="00CF40A0" w:rsidRDefault="00E415E4" w:rsidP="00E415E4">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C21D06" w:rsidRDefault="00E415E4" w:rsidP="00C21D06">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65279C" w:rsidRDefault="00E415E4" w:rsidP="00C21D06">
      <w:pPr>
        <w:pStyle w:val="Style1"/>
        <w:kinsoku w:val="0"/>
        <w:overflowPunct w:val="0"/>
        <w:autoSpaceDE/>
        <w:autoSpaceDN/>
        <w:adjustRightInd/>
        <w:spacing w:after="301" w:line="288" w:lineRule="exact"/>
        <w:ind w:left="1080"/>
        <w:jc w:val="center"/>
        <w:textAlignment w:val="baseline"/>
        <w:rPr>
          <w:sz w:val="24"/>
          <w:szCs w:val="24"/>
        </w:rPr>
        <w:sectPr w:rsidR="0065279C" w:rsidSect="00C21D06">
          <w:type w:val="continuous"/>
          <w:pgSz w:w="12302" w:h="15811"/>
          <w:pgMar w:top="851" w:right="1496" w:bottom="235" w:left="826" w:header="720" w:footer="720" w:gutter="0"/>
          <w:cols w:space="720"/>
          <w:noEndnote/>
        </w:sect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076F58" w:rsidRDefault="00076F58" w:rsidP="00E415E4">
      <w:pPr>
        <w:kinsoku w:val="0"/>
        <w:overflowPunct w:val="0"/>
        <w:autoSpaceDE/>
        <w:autoSpaceDN/>
        <w:adjustRightInd/>
        <w:spacing w:before="14" w:line="215" w:lineRule="exact"/>
        <w:textAlignment w:val="baseline"/>
        <w:rPr>
          <w:spacing w:val="-2"/>
          <w:lang w:val="es-ES" w:eastAsia="es-ES"/>
        </w:rPr>
      </w:pPr>
    </w:p>
    <w:sectPr w:rsidR="00076F58">
      <w:type w:val="continuous"/>
      <w:pgSz w:w="12302" w:h="15811"/>
      <w:pgMar w:top="980" w:right="1549" w:bottom="235" w:left="89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7175"/>
    <w:multiLevelType w:val="singleLevel"/>
    <w:tmpl w:val="44D5CB55"/>
    <w:lvl w:ilvl="0">
      <w:start w:val="1"/>
      <w:numFmt w:val="decimal"/>
      <w:lvlText w:val="%1.-"/>
      <w:lvlJc w:val="left"/>
      <w:pPr>
        <w:tabs>
          <w:tab w:val="num" w:pos="504"/>
        </w:tabs>
      </w:pPr>
      <w:rPr>
        <w:rFonts w:ascii="Tahoma" w:hAnsi="Tahoma" w:cs="Tahoma"/>
        <w:b/>
        <w:bCs/>
        <w:snapToGrid/>
        <w:spacing w:val="15"/>
        <w:sz w:val="24"/>
        <w:szCs w:val="24"/>
      </w:rPr>
    </w:lvl>
  </w:abstractNum>
  <w:abstractNum w:abstractNumId="1" w15:restartNumberingAfterBreak="0">
    <w:nsid w:val="02BA692E"/>
    <w:multiLevelType w:val="singleLevel"/>
    <w:tmpl w:val="53CA1B8A"/>
    <w:lvl w:ilvl="0">
      <w:start w:val="1"/>
      <w:numFmt w:val="lowerLetter"/>
      <w:lvlText w:val="%1)"/>
      <w:lvlJc w:val="left"/>
      <w:pPr>
        <w:tabs>
          <w:tab w:val="num" w:pos="648"/>
        </w:tabs>
        <w:ind w:left="432"/>
      </w:pPr>
      <w:rPr>
        <w:rFonts w:ascii="Verdana" w:hAnsi="Verdana" w:cs="Verdana"/>
        <w:i/>
        <w:iCs/>
        <w:snapToGrid/>
        <w:sz w:val="16"/>
        <w:szCs w:val="16"/>
      </w:rPr>
    </w:lvl>
  </w:abstractNum>
  <w:abstractNum w:abstractNumId="2" w15:restartNumberingAfterBreak="0">
    <w:nsid w:val="030A5CDB"/>
    <w:multiLevelType w:val="singleLevel"/>
    <w:tmpl w:val="2DB91D6F"/>
    <w:lvl w:ilvl="0">
      <w:start w:val="1"/>
      <w:numFmt w:val="lowerLetter"/>
      <w:lvlText w:val="%1)"/>
      <w:lvlJc w:val="left"/>
      <w:pPr>
        <w:tabs>
          <w:tab w:val="num" w:pos="1296"/>
        </w:tabs>
        <w:ind w:left="576" w:firstLine="360"/>
      </w:pPr>
      <w:rPr>
        <w:rFonts w:ascii="Verdana" w:hAnsi="Verdana" w:cs="Verdana"/>
        <w:b/>
        <w:bCs/>
        <w:i/>
        <w:iCs/>
        <w:snapToGrid/>
        <w:sz w:val="21"/>
        <w:szCs w:val="21"/>
      </w:rPr>
    </w:lvl>
  </w:abstractNum>
  <w:abstractNum w:abstractNumId="3" w15:restartNumberingAfterBreak="0">
    <w:nsid w:val="05BDDEC5"/>
    <w:multiLevelType w:val="singleLevel"/>
    <w:tmpl w:val="0421DB40"/>
    <w:lvl w:ilvl="0">
      <w:start w:val="8"/>
      <w:numFmt w:val="decimal"/>
      <w:lvlText w:val="%1."/>
      <w:lvlJc w:val="left"/>
      <w:pPr>
        <w:tabs>
          <w:tab w:val="num" w:pos="648"/>
        </w:tabs>
        <w:ind w:left="432"/>
      </w:pPr>
      <w:rPr>
        <w:rFonts w:ascii="Verdana" w:hAnsi="Verdana" w:cs="Verdana"/>
        <w:i/>
        <w:iCs/>
        <w:snapToGrid/>
        <w:spacing w:val="-2"/>
        <w:sz w:val="16"/>
        <w:szCs w:val="16"/>
      </w:rPr>
    </w:lvl>
  </w:abstractNum>
  <w:abstractNum w:abstractNumId="4" w15:restartNumberingAfterBreak="0">
    <w:nsid w:val="05E9DB88"/>
    <w:multiLevelType w:val="singleLevel"/>
    <w:tmpl w:val="652A8D74"/>
    <w:lvl w:ilvl="0">
      <w:start w:val="2"/>
      <w:numFmt w:val="upperLetter"/>
      <w:lvlText w:val="%1)."/>
      <w:lvlJc w:val="left"/>
      <w:pPr>
        <w:tabs>
          <w:tab w:val="num" w:pos="576"/>
        </w:tabs>
        <w:ind w:left="72"/>
      </w:pPr>
      <w:rPr>
        <w:rFonts w:ascii="Tahoma" w:hAnsi="Tahoma" w:cs="Tahoma"/>
        <w:b/>
        <w:snapToGrid/>
        <w:spacing w:val="10"/>
        <w:sz w:val="25"/>
        <w:szCs w:val="25"/>
      </w:rPr>
    </w:lvl>
  </w:abstractNum>
  <w:abstractNum w:abstractNumId="5" w15:restartNumberingAfterBreak="0">
    <w:nsid w:val="05F1A306"/>
    <w:multiLevelType w:val="singleLevel"/>
    <w:tmpl w:val="772C5ED8"/>
    <w:lvl w:ilvl="0">
      <w:start w:val="1"/>
      <w:numFmt w:val="upperRoman"/>
      <w:lvlText w:val="%1.-"/>
      <w:lvlJc w:val="left"/>
      <w:pPr>
        <w:tabs>
          <w:tab w:val="num" w:pos="576"/>
        </w:tabs>
      </w:pPr>
      <w:rPr>
        <w:rFonts w:ascii="Tahoma" w:hAnsi="Tahoma" w:cs="Tahoma"/>
        <w:b/>
        <w:snapToGrid/>
        <w:spacing w:val="13"/>
        <w:sz w:val="24"/>
        <w:szCs w:val="24"/>
      </w:rPr>
    </w:lvl>
  </w:abstractNum>
  <w:abstractNum w:abstractNumId="6" w15:restartNumberingAfterBreak="0">
    <w:nsid w:val="0694B205"/>
    <w:multiLevelType w:val="singleLevel"/>
    <w:tmpl w:val="0A15F7B1"/>
    <w:lvl w:ilvl="0">
      <w:start w:val="1"/>
      <w:numFmt w:val="decimal"/>
      <w:lvlText w:val="%1."/>
      <w:lvlJc w:val="left"/>
      <w:pPr>
        <w:tabs>
          <w:tab w:val="num" w:pos="432"/>
        </w:tabs>
        <w:ind w:left="216"/>
      </w:pPr>
      <w:rPr>
        <w:rFonts w:ascii="Verdana" w:hAnsi="Verdana" w:cs="Verdana"/>
        <w:i/>
        <w:iCs/>
        <w:snapToGrid/>
        <w:sz w:val="16"/>
        <w:szCs w:val="16"/>
      </w:rPr>
    </w:lvl>
  </w:abstractNum>
  <w:num w:numId="1">
    <w:abstractNumId w:val="6"/>
  </w:num>
  <w:num w:numId="2">
    <w:abstractNumId w:val="6"/>
    <w:lvlOverride w:ilvl="0">
      <w:lvl w:ilvl="0">
        <w:numFmt w:val="decimal"/>
        <w:lvlText w:val="%1."/>
        <w:lvlJc w:val="left"/>
        <w:pPr>
          <w:tabs>
            <w:tab w:val="num" w:pos="432"/>
          </w:tabs>
          <w:ind w:left="216"/>
        </w:pPr>
        <w:rPr>
          <w:rFonts w:ascii="Verdana" w:hAnsi="Verdana" w:cs="Verdana"/>
          <w:b/>
          <w:bCs/>
          <w:i/>
          <w:iCs/>
          <w:snapToGrid/>
          <w:spacing w:val="-1"/>
          <w:sz w:val="16"/>
          <w:szCs w:val="16"/>
        </w:rPr>
      </w:lvl>
    </w:lvlOverride>
  </w:num>
  <w:num w:numId="3">
    <w:abstractNumId w:val="3"/>
  </w:num>
  <w:num w:numId="4">
    <w:abstractNumId w:val="3"/>
    <w:lvlOverride w:ilvl="0">
      <w:lvl w:ilvl="0">
        <w:numFmt w:val="decimal"/>
        <w:lvlText w:val="%1."/>
        <w:lvlJc w:val="left"/>
        <w:pPr>
          <w:tabs>
            <w:tab w:val="num" w:pos="648"/>
          </w:tabs>
          <w:ind w:left="432"/>
        </w:pPr>
        <w:rPr>
          <w:rFonts w:ascii="Verdana" w:hAnsi="Verdana" w:cs="Verdana"/>
          <w:b/>
          <w:bCs/>
          <w:i/>
          <w:iCs/>
          <w:snapToGrid/>
          <w:spacing w:val="4"/>
          <w:sz w:val="16"/>
          <w:szCs w:val="16"/>
        </w:rPr>
      </w:lvl>
    </w:lvlOverride>
  </w:num>
  <w:num w:numId="5">
    <w:abstractNumId w:val="0"/>
  </w:num>
  <w:num w:numId="6">
    <w:abstractNumId w:val="0"/>
    <w:lvlOverride w:ilvl="0">
      <w:lvl w:ilvl="0">
        <w:numFmt w:val="decimal"/>
        <w:lvlText w:val="%1.-"/>
        <w:lvlJc w:val="left"/>
        <w:pPr>
          <w:tabs>
            <w:tab w:val="num" w:pos="576"/>
          </w:tabs>
        </w:pPr>
        <w:rPr>
          <w:rFonts w:ascii="Tahoma" w:hAnsi="Tahoma" w:cs="Tahoma"/>
          <w:b/>
          <w:bCs/>
          <w:snapToGrid/>
          <w:spacing w:val="16"/>
          <w:sz w:val="24"/>
          <w:szCs w:val="24"/>
        </w:rPr>
      </w:lvl>
    </w:lvlOverride>
  </w:num>
  <w:num w:numId="7">
    <w:abstractNumId w:val="4"/>
  </w:num>
  <w:num w:numId="8">
    <w:abstractNumId w:val="2"/>
  </w:num>
  <w:num w:numId="9">
    <w:abstractNumId w:val="2"/>
    <w:lvlOverride w:ilvl="0">
      <w:lvl w:ilvl="0">
        <w:numFmt w:val="lowerLetter"/>
        <w:lvlText w:val="%1)"/>
        <w:lvlJc w:val="left"/>
        <w:pPr>
          <w:tabs>
            <w:tab w:val="num" w:pos="1296"/>
          </w:tabs>
          <w:ind w:left="576" w:firstLine="360"/>
        </w:pPr>
        <w:rPr>
          <w:rFonts w:ascii="Verdana" w:hAnsi="Verdana" w:cs="Verdana"/>
          <w:i/>
          <w:iCs/>
          <w:snapToGrid/>
          <w:spacing w:val="3"/>
          <w:sz w:val="21"/>
          <w:szCs w:val="21"/>
        </w:rPr>
      </w:lvl>
    </w:lvlOverride>
  </w:num>
  <w:num w:numId="10">
    <w:abstractNumId w:val="2"/>
    <w:lvlOverride w:ilvl="0">
      <w:lvl w:ilvl="0">
        <w:numFmt w:val="lowerLetter"/>
        <w:lvlText w:val="%1)"/>
        <w:lvlJc w:val="left"/>
        <w:pPr>
          <w:tabs>
            <w:tab w:val="num" w:pos="1296"/>
          </w:tabs>
          <w:ind w:left="576" w:firstLine="360"/>
        </w:pPr>
        <w:rPr>
          <w:rFonts w:ascii="Verdana" w:hAnsi="Verdana" w:cs="Verdana"/>
          <w:i/>
          <w:iCs/>
          <w:snapToGrid/>
          <w:sz w:val="21"/>
          <w:szCs w:val="21"/>
          <w:u w:val="single"/>
        </w:rPr>
      </w:lvl>
    </w:lvlOverride>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3D"/>
    <w:rsid w:val="00076F58"/>
    <w:rsid w:val="0022653D"/>
    <w:rsid w:val="0065279C"/>
    <w:rsid w:val="007A7554"/>
    <w:rsid w:val="00A84712"/>
    <w:rsid w:val="00C21D06"/>
    <w:rsid w:val="00E415E4"/>
    <w:rsid w:val="00EF460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CB7DEB"/>
  <w14:defaultImageDpi w14:val="0"/>
  <w15:docId w15:val="{6E03F1F5-D83B-4407-B88E-8E63CF1E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415E4"/>
    <w:rPr>
      <w:lang w:val="es-CR"/>
    </w:rPr>
  </w:style>
  <w:style w:type="character" w:customStyle="1" w:styleId="CharacterStyle1">
    <w:name w:val="Character Style 1"/>
    <w:uiPriority w:val="99"/>
    <w:rsid w:val="00E415E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8707A-34D0-450D-AEC7-6B8AE181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7586</Words>
  <Characters>41723</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3</cp:revision>
  <dcterms:created xsi:type="dcterms:W3CDTF">2019-04-25T16:30:00Z</dcterms:created>
  <dcterms:modified xsi:type="dcterms:W3CDTF">2019-05-02T18:02:00Z</dcterms:modified>
</cp:coreProperties>
</file>